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43" w:rsidRPr="00937943" w:rsidRDefault="00937943" w:rsidP="00937943">
      <w:pPr>
        <w:keepNext/>
        <w:tabs>
          <w:tab w:val="left" w:pos="1260"/>
          <w:tab w:val="left" w:pos="1980"/>
          <w:tab w:val="left" w:pos="2700"/>
          <w:tab w:val="left" w:pos="3420"/>
        </w:tabs>
        <w:spacing w:after="0" w:line="240" w:lineRule="auto"/>
        <w:ind w:left="1260" w:hanging="1260"/>
        <w:rPr>
          <w:rFonts w:ascii="Verdana" w:eastAsia="Times New Roman" w:hAnsi="Verdana" w:cs="Times New Roman"/>
          <w:i/>
          <w:color w:val="FF0000"/>
          <w:lang w:eastAsia="en-GB"/>
        </w:rPr>
      </w:pPr>
      <w:r w:rsidRPr="00937943">
        <w:rPr>
          <w:rFonts w:ascii="Verdana" w:eastAsia="Times New Roman" w:hAnsi="Verdana" w:cs="Times New Roman"/>
          <w:b/>
          <w:lang w:eastAsia="en-GB"/>
        </w:rPr>
        <w:t xml:space="preserve"> 2015/16 </w:t>
      </w:r>
      <w:bookmarkStart w:id="0" w:name="_GoBack"/>
      <w:r w:rsidRPr="00937943">
        <w:rPr>
          <w:rFonts w:ascii="Verdana" w:eastAsia="Times New Roman" w:hAnsi="Verdana" w:cs="Times New Roman"/>
          <w:b/>
          <w:lang w:eastAsia="en-GB"/>
        </w:rPr>
        <w:t>Value for Money Self Assessment Report</w:t>
      </w:r>
      <w:bookmarkEnd w:id="0"/>
    </w:p>
    <w:p w:rsidR="00937943" w:rsidRPr="00937943" w:rsidRDefault="00937943" w:rsidP="00937943">
      <w:pPr>
        <w:keepNext/>
        <w:tabs>
          <w:tab w:val="left" w:pos="1260"/>
          <w:tab w:val="left" w:pos="1980"/>
          <w:tab w:val="left" w:pos="2700"/>
          <w:tab w:val="left" w:pos="3420"/>
        </w:tabs>
        <w:spacing w:after="0" w:line="240" w:lineRule="auto"/>
        <w:ind w:left="1260" w:hanging="1260"/>
        <w:jc w:val="both"/>
        <w:rPr>
          <w:rFonts w:ascii="Verdana" w:eastAsia="Times New Roman" w:hAnsi="Verdana" w:cs="Times New Roman"/>
          <w:lang w:eastAsia="en-GB"/>
        </w:rPr>
      </w:pPr>
      <w:r w:rsidRPr="00937943">
        <w:rPr>
          <w:rFonts w:ascii="Verdana" w:eastAsia="Times New Roman" w:hAnsi="Verdana" w:cs="Times New Roman"/>
          <w:b/>
          <w:lang w:eastAsia="en-GB"/>
        </w:rPr>
        <w:tab/>
      </w:r>
      <w:r w:rsidRPr="00937943">
        <w:rPr>
          <w:rFonts w:ascii="Verdana" w:eastAsia="Times New Roman" w:hAnsi="Verdana" w:cs="Times New Roman"/>
          <w:b/>
          <w:i/>
          <w:lang w:eastAsia="en-GB"/>
        </w:rPr>
        <w:tab/>
      </w:r>
      <w:r w:rsidRPr="00937943">
        <w:rPr>
          <w:rFonts w:ascii="Verdana" w:eastAsia="Times New Roman" w:hAnsi="Verdana" w:cs="Times New Roman"/>
          <w:b/>
          <w:i/>
          <w:lang w:eastAsia="en-GB"/>
        </w:rPr>
        <w:fldChar w:fldCharType="begin"/>
      </w:r>
      <w:r w:rsidRPr="00937943">
        <w:rPr>
          <w:rFonts w:ascii="Verdana" w:eastAsia="Times New Roman" w:hAnsi="Verdana" w:cs="Times New Roman"/>
          <w:b/>
          <w:i/>
          <w:lang w:eastAsia="en-GB"/>
        </w:rPr>
        <w:instrText xml:space="preserve">  </w:instrText>
      </w:r>
      <w:r w:rsidRPr="00937943">
        <w:rPr>
          <w:rFonts w:ascii="Verdana" w:eastAsia="Times New Roman" w:hAnsi="Verdana" w:cs="Times New Roman"/>
          <w:b/>
          <w:i/>
          <w:lang w:eastAsia="en-GB"/>
        </w:rPr>
        <w:fldChar w:fldCharType="end"/>
      </w:r>
    </w:p>
    <w:p w:rsidR="00937943" w:rsidRPr="00937943" w:rsidRDefault="00937943" w:rsidP="00937943">
      <w:pPr>
        <w:keepNext/>
        <w:tabs>
          <w:tab w:val="left" w:pos="1260"/>
          <w:tab w:val="left" w:pos="1980"/>
          <w:tab w:val="left" w:pos="2700"/>
          <w:tab w:val="left" w:pos="3420"/>
        </w:tabs>
        <w:spacing w:after="0" w:line="240" w:lineRule="auto"/>
        <w:ind w:left="1260" w:hanging="1260"/>
        <w:jc w:val="both"/>
        <w:rPr>
          <w:rFonts w:ascii="Verdana" w:eastAsia="Times New Roman" w:hAnsi="Verdana" w:cs="Times New Roman"/>
          <w:lang w:eastAsia="en-GB"/>
        </w:rPr>
      </w:pPr>
      <w:r w:rsidRPr="00937943">
        <w:rPr>
          <w:rFonts w:ascii="Verdana" w:eastAsia="Times New Roman" w:hAnsi="Verdana" w:cs="Times New Roman"/>
          <w:b/>
          <w:lang w:eastAsia="en-GB"/>
        </w:rPr>
        <w:t>1.</w:t>
      </w:r>
      <w:r w:rsidRPr="00937943">
        <w:rPr>
          <w:rFonts w:ascii="Verdana" w:eastAsia="Times New Roman" w:hAnsi="Verdana" w:cs="Times New Roman"/>
          <w:lang w:eastAsia="en-GB"/>
        </w:rPr>
        <w:tab/>
      </w:r>
      <w:r w:rsidRPr="00937943">
        <w:rPr>
          <w:rFonts w:ascii="Verdana" w:eastAsia="Times New Roman" w:hAnsi="Verdana" w:cs="Times New Roman"/>
          <w:b/>
          <w:lang w:eastAsia="en-GB"/>
        </w:rPr>
        <w:t>Summary</w:t>
      </w:r>
    </w:p>
    <w:p w:rsidR="00937943" w:rsidRPr="00937943" w:rsidRDefault="00937943" w:rsidP="00937943">
      <w:pPr>
        <w:keepNext/>
        <w:tabs>
          <w:tab w:val="left" w:pos="1260"/>
          <w:tab w:val="left" w:pos="1980"/>
          <w:tab w:val="left" w:pos="2700"/>
          <w:tab w:val="left" w:pos="3420"/>
        </w:tabs>
        <w:spacing w:after="0" w:line="240" w:lineRule="auto"/>
        <w:ind w:left="1260" w:hanging="1260"/>
        <w:jc w:val="both"/>
        <w:rPr>
          <w:rFonts w:ascii="Verdana" w:eastAsia="Times New Roman" w:hAnsi="Verdana" w:cs="Times New Roman"/>
          <w:lang w:eastAsia="en-GB"/>
        </w:rPr>
      </w:pPr>
    </w:p>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color w:val="FF0000"/>
          <w:szCs w:val="20"/>
          <w:lang w:eastAsia="en-GB"/>
        </w:rPr>
      </w:pPr>
      <w:r w:rsidRPr="00937943">
        <w:rPr>
          <w:rFonts w:ascii="Verdana" w:eastAsia="Times New Roman" w:hAnsi="Verdana" w:cs="Times New Roman"/>
          <w:b/>
          <w:lang w:eastAsia="en-GB"/>
        </w:rPr>
        <w:t>1.1</w:t>
      </w:r>
      <w:r w:rsidRPr="00937943">
        <w:rPr>
          <w:rFonts w:ascii="Verdana" w:eastAsia="Times New Roman" w:hAnsi="Verdana" w:cs="Times New Roman"/>
          <w:lang w:eastAsia="en-GB"/>
        </w:rPr>
        <w:tab/>
      </w:r>
      <w:r w:rsidRPr="00937943">
        <w:rPr>
          <w:rFonts w:ascii="Verdana" w:eastAsia="Times New Roman" w:hAnsi="Verdana" w:cs="Times New Roman"/>
          <w:szCs w:val="20"/>
          <w:lang w:eastAsia="en-GB"/>
        </w:rPr>
        <w:t>This self assessment sets out LSHA’s approach to achieving value for money in the way in which it operates. It is a regulatory requirement that a summary of which is included in LSHA’s Financial Statements</w:t>
      </w:r>
      <w:r w:rsidRPr="00937943">
        <w:rPr>
          <w:rFonts w:ascii="Verdana" w:eastAsia="Times New Roman" w:hAnsi="Verdana" w:cs="Times New Roman"/>
          <w:szCs w:val="20"/>
          <w:lang w:eastAsia="en-GB"/>
        </w:rPr>
        <w:br/>
      </w:r>
    </w:p>
    <w:p w:rsidR="00937943" w:rsidRPr="00937943" w:rsidRDefault="00937943" w:rsidP="00937943">
      <w:pPr>
        <w:keepNext/>
        <w:tabs>
          <w:tab w:val="left" w:pos="1260"/>
          <w:tab w:val="left" w:pos="1980"/>
          <w:tab w:val="left" w:pos="2700"/>
          <w:tab w:val="left" w:pos="3420"/>
        </w:tabs>
        <w:spacing w:after="0" w:line="240" w:lineRule="auto"/>
        <w:ind w:left="1260" w:hanging="1260"/>
        <w:jc w:val="both"/>
        <w:rPr>
          <w:rFonts w:ascii="Verdana" w:eastAsia="Times New Roman" w:hAnsi="Verdana" w:cs="Times New Roman"/>
          <w:b/>
          <w:lang w:eastAsia="en-GB"/>
        </w:rPr>
      </w:pPr>
      <w:r w:rsidRPr="00937943">
        <w:rPr>
          <w:rFonts w:ascii="Verdana" w:eastAsia="Times New Roman" w:hAnsi="Verdana" w:cs="Times New Roman"/>
          <w:b/>
          <w:lang w:eastAsia="en-GB"/>
        </w:rPr>
        <w:t>2.</w:t>
      </w:r>
      <w:r w:rsidRPr="00937943">
        <w:rPr>
          <w:rFonts w:ascii="Verdana" w:eastAsia="Times New Roman" w:hAnsi="Verdana" w:cs="Times New Roman"/>
          <w:lang w:eastAsia="en-GB"/>
        </w:rPr>
        <w:tab/>
      </w:r>
      <w:r w:rsidRPr="00937943">
        <w:rPr>
          <w:rFonts w:ascii="Verdana" w:eastAsia="Times New Roman" w:hAnsi="Verdana" w:cs="Times New Roman"/>
          <w:b/>
          <w:lang w:eastAsia="en-GB"/>
        </w:rPr>
        <w:t>Details</w:t>
      </w:r>
    </w:p>
    <w:p w:rsidR="00937943" w:rsidRPr="00937943" w:rsidRDefault="00937943" w:rsidP="00937943">
      <w:pPr>
        <w:keepNext/>
        <w:tabs>
          <w:tab w:val="left" w:pos="1260"/>
          <w:tab w:val="left" w:pos="1980"/>
          <w:tab w:val="left" w:pos="2700"/>
          <w:tab w:val="left" w:pos="3420"/>
        </w:tabs>
        <w:spacing w:after="0" w:line="240" w:lineRule="auto"/>
        <w:ind w:left="1260" w:hanging="1260"/>
        <w:jc w:val="both"/>
        <w:rPr>
          <w:rFonts w:ascii="Verdana" w:eastAsia="Times New Roman" w:hAnsi="Verdana" w:cs="Times New Roman"/>
          <w:u w:val="single"/>
          <w:lang w:eastAsia="en-GB"/>
        </w:rPr>
      </w:pPr>
    </w:p>
    <w:p w:rsidR="00937943" w:rsidRPr="00937943" w:rsidRDefault="00937943" w:rsidP="00937943">
      <w:pPr>
        <w:tabs>
          <w:tab w:val="left" w:pos="1260"/>
          <w:tab w:val="left" w:pos="1980"/>
          <w:tab w:val="left" w:pos="2700"/>
          <w:tab w:val="left" w:pos="3420"/>
        </w:tabs>
        <w:spacing w:after="0" w:line="240" w:lineRule="auto"/>
        <w:rPr>
          <w:rFonts w:ascii="Verdana" w:eastAsia="Times New Roman" w:hAnsi="Verdana" w:cs="Times New Roman"/>
          <w:b/>
          <w:lang w:eastAsia="en-GB"/>
        </w:rPr>
      </w:pPr>
      <w:r w:rsidRPr="00937943">
        <w:rPr>
          <w:rFonts w:ascii="Verdana" w:eastAsia="Times New Roman" w:hAnsi="Verdana" w:cs="Times New Roman"/>
          <w:b/>
          <w:lang w:eastAsia="en-GB"/>
        </w:rPr>
        <w:t>2.1</w:t>
      </w:r>
      <w:r w:rsidRPr="00937943">
        <w:rPr>
          <w:rFonts w:ascii="Verdana" w:eastAsia="Times New Roman" w:hAnsi="Verdana" w:cs="Times New Roman"/>
          <w:lang w:eastAsia="en-GB"/>
        </w:rPr>
        <w:tab/>
      </w:r>
      <w:r w:rsidRPr="00937943">
        <w:rPr>
          <w:rFonts w:ascii="Verdana" w:eastAsia="Times New Roman" w:hAnsi="Verdana" w:cs="Times New Roman"/>
          <w:b/>
          <w:lang w:eastAsia="en-GB"/>
        </w:rPr>
        <w:t>What do we mean by Value for Money</w:t>
      </w:r>
      <w:r w:rsidRPr="00937943">
        <w:rPr>
          <w:rFonts w:ascii="Verdana" w:eastAsia="Times New Roman" w:hAnsi="Verdana" w:cs="Times New Roman"/>
          <w:b/>
          <w:lang w:eastAsia="en-GB"/>
        </w:rPr>
        <w:br/>
      </w:r>
    </w:p>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lang w:eastAsia="en-GB"/>
        </w:rPr>
        <w:tab/>
        <w:t>Value for money (</w:t>
      </w:r>
      <w:proofErr w:type="spellStart"/>
      <w:r w:rsidRPr="00937943">
        <w:rPr>
          <w:rFonts w:ascii="Verdana" w:eastAsia="Times New Roman" w:hAnsi="Verdana" w:cs="Times New Roman"/>
          <w:lang w:eastAsia="en-GB"/>
        </w:rPr>
        <w:t>VfM</w:t>
      </w:r>
      <w:proofErr w:type="spellEnd"/>
      <w:r w:rsidRPr="00937943">
        <w:rPr>
          <w:rFonts w:ascii="Verdana" w:eastAsia="Times New Roman" w:hAnsi="Verdana" w:cs="Times New Roman"/>
          <w:lang w:eastAsia="en-GB"/>
        </w:rPr>
        <w:t>) is the term used to assess whether or not an organisation has obtained the maximum benefit from the goods and services it acquires and/or provides, within the resources available to it. It not only measures the cost of goods and services, but also takes account of the mix of quality, cost, resource-use, fitness for purpose and timeliness to judge whether or not, when taken together, they constitute good value.</w:t>
      </w:r>
      <w:r w:rsidRPr="00937943">
        <w:rPr>
          <w:rFonts w:ascii="Verdana" w:eastAsia="Times New Roman" w:hAnsi="Verdana" w:cs="Times New Roman"/>
          <w:lang w:eastAsia="en-GB"/>
        </w:rPr>
        <w:br/>
      </w:r>
    </w:p>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lang w:eastAsia="en-GB"/>
        </w:rPr>
        <w:tab/>
        <w:t>For LSHA, delivering VFM should:</w:t>
      </w:r>
    </w:p>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p>
    <w:p w:rsidR="00937943" w:rsidRPr="00937943" w:rsidRDefault="00937943" w:rsidP="00937943">
      <w:pPr>
        <w:numPr>
          <w:ilvl w:val="0"/>
          <w:numId w:val="1"/>
        </w:numPr>
        <w:tabs>
          <w:tab w:val="num" w:pos="720"/>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support our mission, objectives and goals;</w:t>
      </w:r>
    </w:p>
    <w:p w:rsidR="00937943" w:rsidRPr="00937943" w:rsidRDefault="00937943" w:rsidP="00937943">
      <w:pPr>
        <w:numPr>
          <w:ilvl w:val="0"/>
          <w:numId w:val="1"/>
        </w:numPr>
        <w:tabs>
          <w:tab w:val="num" w:pos="720"/>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provide the range and priority of services that our customers want;</w:t>
      </w:r>
    </w:p>
    <w:p w:rsidR="00937943" w:rsidRPr="00937943" w:rsidRDefault="00937943" w:rsidP="00937943">
      <w:pPr>
        <w:numPr>
          <w:ilvl w:val="0"/>
          <w:numId w:val="1"/>
        </w:numPr>
        <w:tabs>
          <w:tab w:val="num" w:pos="720"/>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achieve standards of quality and cost which positions LSHA among the top performing smaller London housing associations;</w:t>
      </w:r>
    </w:p>
    <w:p w:rsidR="00937943" w:rsidRPr="00937943" w:rsidRDefault="00937943" w:rsidP="00937943">
      <w:pPr>
        <w:numPr>
          <w:ilvl w:val="0"/>
          <w:numId w:val="1"/>
        </w:numPr>
        <w:tabs>
          <w:tab w:val="num" w:pos="720"/>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adopt recognised good practice where appropriate;</w:t>
      </w:r>
    </w:p>
    <w:p w:rsidR="00937943" w:rsidRPr="00937943" w:rsidRDefault="00937943" w:rsidP="00937943">
      <w:pPr>
        <w:numPr>
          <w:ilvl w:val="0"/>
          <w:numId w:val="1"/>
        </w:numPr>
        <w:tabs>
          <w:tab w:val="num" w:pos="720"/>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make the most productive and efficient use of internal and external resources;</w:t>
      </w:r>
    </w:p>
    <w:p w:rsidR="00937943" w:rsidRPr="00937943" w:rsidRDefault="00937943" w:rsidP="00937943">
      <w:pPr>
        <w:numPr>
          <w:ilvl w:val="0"/>
          <w:numId w:val="1"/>
        </w:numPr>
        <w:tabs>
          <w:tab w:val="num" w:pos="720"/>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demonstrates sustained year-on-year improvement;</w:t>
      </w:r>
    </w:p>
    <w:p w:rsidR="00937943" w:rsidRPr="00937943" w:rsidRDefault="00937943" w:rsidP="00937943">
      <w:pPr>
        <w:numPr>
          <w:ilvl w:val="0"/>
          <w:numId w:val="1"/>
        </w:numPr>
        <w:tabs>
          <w:tab w:val="num" w:pos="720"/>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seek out better ways of performing.</w:t>
      </w:r>
    </w:p>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lang w:eastAsia="en-GB"/>
        </w:rPr>
        <w:br/>
        <w:t xml:space="preserve">This </w:t>
      </w:r>
      <w:proofErr w:type="spellStart"/>
      <w:r w:rsidRPr="00937943">
        <w:rPr>
          <w:rFonts w:ascii="Verdana" w:eastAsia="Times New Roman" w:hAnsi="Verdana" w:cs="Times New Roman"/>
          <w:lang w:eastAsia="en-GB"/>
        </w:rPr>
        <w:t>VfM</w:t>
      </w:r>
      <w:proofErr w:type="spellEnd"/>
      <w:r w:rsidRPr="00937943">
        <w:rPr>
          <w:rFonts w:ascii="Verdana" w:eastAsia="Times New Roman" w:hAnsi="Verdana" w:cs="Times New Roman"/>
          <w:lang w:eastAsia="en-GB"/>
        </w:rPr>
        <w:t xml:space="preserve"> self assessment reflects the regulatory requirements (see para 6.1) and priorities by placing emphasis on:</w:t>
      </w:r>
      <w:r w:rsidRPr="00937943">
        <w:rPr>
          <w:rFonts w:ascii="Verdana" w:eastAsia="Times New Roman" w:hAnsi="Verdana" w:cs="Times New Roman"/>
          <w:lang w:eastAsia="en-GB"/>
        </w:rPr>
        <w:br/>
      </w:r>
    </w:p>
    <w:p w:rsidR="00937943" w:rsidRPr="00937943" w:rsidRDefault="00937943" w:rsidP="00937943">
      <w:pPr>
        <w:numPr>
          <w:ilvl w:val="0"/>
          <w:numId w:val="2"/>
        </w:numPr>
        <w:tabs>
          <w:tab w:val="num" w:pos="720"/>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reinforcing LSHA’s performance culture</w:t>
      </w:r>
    </w:p>
    <w:p w:rsidR="00937943" w:rsidRPr="00937943" w:rsidRDefault="00937943" w:rsidP="00937943">
      <w:pPr>
        <w:numPr>
          <w:ilvl w:val="0"/>
          <w:numId w:val="2"/>
        </w:numPr>
        <w:tabs>
          <w:tab w:val="num" w:pos="720"/>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having a robust approach to decisions on the use of resources to deliver business plan objectives</w:t>
      </w:r>
    </w:p>
    <w:p w:rsidR="00937943" w:rsidRPr="00937943" w:rsidRDefault="00937943" w:rsidP="00937943">
      <w:pPr>
        <w:numPr>
          <w:ilvl w:val="0"/>
          <w:numId w:val="2"/>
        </w:numPr>
        <w:tabs>
          <w:tab w:val="num" w:pos="720"/>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ensuring that return on assets is optimised by reviewing alternative delivery methods</w:t>
      </w:r>
    </w:p>
    <w:p w:rsidR="00937943" w:rsidRPr="00937943" w:rsidRDefault="00937943" w:rsidP="00937943">
      <w:pPr>
        <w:numPr>
          <w:ilvl w:val="0"/>
          <w:numId w:val="2"/>
        </w:numPr>
        <w:tabs>
          <w:tab w:val="num" w:pos="720"/>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 xml:space="preserve">reinforcing budget/financial management processes (including understanding costs and their drivers) to provide clear performance management data to allow robust </w:t>
      </w:r>
      <w:proofErr w:type="spellStart"/>
      <w:r w:rsidRPr="00937943">
        <w:rPr>
          <w:rFonts w:ascii="Verdana" w:eastAsia="Times New Roman" w:hAnsi="Verdana" w:cs="Times New Roman"/>
          <w:lang w:eastAsia="en-GB"/>
        </w:rPr>
        <w:t>VfM</w:t>
      </w:r>
      <w:proofErr w:type="spellEnd"/>
      <w:r w:rsidRPr="00937943">
        <w:rPr>
          <w:rFonts w:ascii="Verdana" w:eastAsia="Times New Roman" w:hAnsi="Verdana" w:cs="Times New Roman"/>
          <w:lang w:eastAsia="en-GB"/>
        </w:rPr>
        <w:t xml:space="preserve"> decisions to be made</w:t>
      </w:r>
    </w:p>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lang w:eastAsia="en-GB"/>
        </w:rPr>
        <w:br/>
        <w:t>The ways in which the above will be delivered are set out in the following sections.</w:t>
      </w:r>
    </w:p>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p>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color w:val="FF0000"/>
          <w:lang w:eastAsia="en-GB"/>
        </w:rPr>
      </w:pPr>
      <w:r w:rsidRPr="00937943">
        <w:rPr>
          <w:rFonts w:ascii="Verdana" w:eastAsia="Times New Roman" w:hAnsi="Verdana" w:cs="Times New Roman"/>
          <w:lang w:eastAsia="en-GB"/>
        </w:rPr>
        <w:tab/>
        <w:t xml:space="preserve">An annual </w:t>
      </w:r>
      <w:proofErr w:type="spellStart"/>
      <w:r w:rsidRPr="00937943">
        <w:rPr>
          <w:rFonts w:ascii="Verdana" w:eastAsia="Times New Roman" w:hAnsi="Verdana" w:cs="Times New Roman"/>
          <w:lang w:eastAsia="en-GB"/>
        </w:rPr>
        <w:t>VfM</w:t>
      </w:r>
      <w:proofErr w:type="spellEnd"/>
      <w:r w:rsidRPr="00937943">
        <w:rPr>
          <w:rFonts w:ascii="Verdana" w:eastAsia="Times New Roman" w:hAnsi="Verdana" w:cs="Times New Roman"/>
          <w:lang w:eastAsia="en-GB"/>
        </w:rPr>
        <w:t xml:space="preserve"> self assessment will be published in LSHA’s Financial Statements to detail how Value for Money is achieved in delivering </w:t>
      </w:r>
      <w:r w:rsidRPr="00937943">
        <w:rPr>
          <w:rFonts w:ascii="Verdana" w:eastAsia="Times New Roman" w:hAnsi="Verdana" w:cs="Times New Roman"/>
          <w:lang w:eastAsia="en-GB"/>
        </w:rPr>
        <w:lastRenderedPageBreak/>
        <w:t>our purpose and objectives.</w:t>
      </w:r>
      <w:r w:rsidRPr="00937943">
        <w:rPr>
          <w:rFonts w:ascii="Verdana" w:eastAsia="Times New Roman" w:hAnsi="Verdana" w:cs="Times New Roman"/>
          <w:color w:val="FF0000"/>
          <w:lang w:eastAsia="en-GB"/>
        </w:rPr>
        <w:br/>
      </w:r>
    </w:p>
    <w:p w:rsidR="00937943" w:rsidRPr="00937943" w:rsidRDefault="00937943" w:rsidP="00937943">
      <w:pPr>
        <w:tabs>
          <w:tab w:val="left" w:pos="1260"/>
          <w:tab w:val="left" w:pos="1980"/>
          <w:tab w:val="left" w:pos="2700"/>
          <w:tab w:val="left" w:pos="3420"/>
        </w:tabs>
        <w:spacing w:after="0" w:line="240" w:lineRule="auto"/>
        <w:ind w:left="1260"/>
        <w:rPr>
          <w:rFonts w:ascii="Verdana" w:eastAsia="Times New Roman" w:hAnsi="Verdana" w:cs="Times New Roman"/>
          <w:lang w:eastAsia="en-GB"/>
        </w:rPr>
      </w:pPr>
      <w:r w:rsidRPr="00937943">
        <w:rPr>
          <w:rFonts w:ascii="Verdana" w:eastAsia="Times New Roman" w:hAnsi="Verdana" w:cs="Times New Roman"/>
          <w:b/>
          <w:lang w:eastAsia="en-GB"/>
        </w:rPr>
        <w:t>What Value for Money is not</w:t>
      </w:r>
      <w:r w:rsidRPr="00937943">
        <w:rPr>
          <w:rFonts w:ascii="Verdana" w:eastAsia="Times New Roman" w:hAnsi="Verdana" w:cs="Times New Roman"/>
          <w:b/>
          <w:lang w:eastAsia="en-GB"/>
        </w:rPr>
        <w:br/>
      </w:r>
      <w:r w:rsidRPr="00937943">
        <w:rPr>
          <w:rFonts w:ascii="Verdana" w:eastAsia="Times New Roman" w:hAnsi="Verdana" w:cs="Times New Roman"/>
          <w:b/>
          <w:lang w:eastAsia="en-GB"/>
        </w:rPr>
        <w:br/>
      </w:r>
      <w:proofErr w:type="spellStart"/>
      <w:r w:rsidRPr="00937943">
        <w:rPr>
          <w:rFonts w:ascii="Verdana" w:eastAsia="Times New Roman" w:hAnsi="Verdana" w:cs="Times New Roman"/>
          <w:lang w:eastAsia="en-GB"/>
        </w:rPr>
        <w:t>VfM</w:t>
      </w:r>
      <w:proofErr w:type="spellEnd"/>
      <w:r w:rsidRPr="00937943">
        <w:rPr>
          <w:rFonts w:ascii="Verdana" w:eastAsia="Times New Roman" w:hAnsi="Verdana" w:cs="Times New Roman"/>
          <w:lang w:eastAsia="en-GB"/>
        </w:rPr>
        <w:t xml:space="preserve"> is not necessarily about cutting costs; VFM is about getting more quantity and quality alongside spending money wisely and not spending more money than necessary.</w:t>
      </w:r>
      <w:r w:rsidRPr="00937943">
        <w:rPr>
          <w:rFonts w:ascii="Verdana" w:eastAsia="Times New Roman" w:hAnsi="Verdana" w:cs="Times New Roman"/>
          <w:lang w:eastAsia="en-GB"/>
        </w:rPr>
        <w:br/>
      </w:r>
    </w:p>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color w:val="FF0000"/>
          <w:lang w:eastAsia="en-GB"/>
        </w:rPr>
      </w:pPr>
      <w:r w:rsidRPr="00937943">
        <w:rPr>
          <w:rFonts w:ascii="Verdana" w:eastAsia="Times New Roman" w:hAnsi="Verdana" w:cs="Times New Roman"/>
          <w:lang w:eastAsia="en-GB"/>
        </w:rPr>
        <w:tab/>
        <w:t>Spending money wisely in order to deliver its objectives will allow LSHA to produce efficiency savings which will result in a sustainable organisation which can re-invest in new housing units; enhanced neighbourhood services and/or front line delivery where appropriate.</w:t>
      </w:r>
      <w:r w:rsidRPr="00937943">
        <w:rPr>
          <w:rFonts w:ascii="Verdana" w:eastAsia="Times New Roman" w:hAnsi="Verdana" w:cs="Times New Roman"/>
          <w:color w:val="FF0000"/>
          <w:lang w:eastAsia="en-GB"/>
        </w:rPr>
        <w:br/>
      </w:r>
    </w:p>
    <w:p w:rsidR="00937943" w:rsidRPr="00937943" w:rsidRDefault="00937943" w:rsidP="00937943">
      <w:pPr>
        <w:numPr>
          <w:ilvl w:val="1"/>
          <w:numId w:val="9"/>
        </w:numPr>
        <w:tabs>
          <w:tab w:val="left" w:pos="1260"/>
          <w:tab w:val="left" w:pos="1980"/>
          <w:tab w:val="left" w:pos="2700"/>
          <w:tab w:val="left" w:pos="3420"/>
        </w:tabs>
        <w:spacing w:after="0" w:line="240" w:lineRule="auto"/>
        <w:rPr>
          <w:rFonts w:ascii="Verdana" w:eastAsia="Times New Roman" w:hAnsi="Verdana" w:cs="Times New Roman"/>
          <w:b/>
          <w:lang w:eastAsia="en-GB"/>
        </w:rPr>
      </w:pPr>
      <w:r w:rsidRPr="00937943">
        <w:rPr>
          <w:rFonts w:ascii="Verdana" w:eastAsia="Times New Roman" w:hAnsi="Verdana" w:cs="Times New Roman"/>
          <w:b/>
          <w:lang w:eastAsia="en-GB"/>
        </w:rPr>
        <w:t>LSHA’s approach to Value for Money</w:t>
      </w:r>
      <w:r w:rsidRPr="00937943">
        <w:rPr>
          <w:rFonts w:ascii="Verdana" w:eastAsia="Times New Roman" w:hAnsi="Verdana" w:cs="Times New Roman"/>
          <w:b/>
          <w:lang w:eastAsia="en-GB"/>
        </w:rPr>
        <w:br/>
      </w:r>
    </w:p>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iCs/>
          <w:lang w:eastAsia="en-GB"/>
        </w:rPr>
        <w:tab/>
      </w:r>
      <w:proofErr w:type="spellStart"/>
      <w:r w:rsidRPr="00937943">
        <w:rPr>
          <w:rFonts w:ascii="Verdana" w:eastAsia="Times New Roman" w:hAnsi="Verdana" w:cs="Times New Roman"/>
          <w:iCs/>
          <w:lang w:eastAsia="en-GB"/>
        </w:rPr>
        <w:t>VfM</w:t>
      </w:r>
      <w:proofErr w:type="spellEnd"/>
      <w:r w:rsidRPr="00937943">
        <w:rPr>
          <w:rFonts w:ascii="Verdana" w:eastAsia="Times New Roman" w:hAnsi="Verdana" w:cs="Times New Roman"/>
          <w:iCs/>
          <w:lang w:eastAsia="en-GB"/>
        </w:rPr>
        <w:t xml:space="preserve"> means the delivery of our social objectives in the most cost effective way possible.</w:t>
      </w:r>
    </w:p>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iCs/>
          <w:lang w:eastAsia="en-GB"/>
        </w:rPr>
        <w:tab/>
        <w:t>The value we produce is directly related to our social purpose – our mission is to make a difference to people’s lives by:</w:t>
      </w:r>
    </w:p>
    <w:p w:rsidR="00937943" w:rsidRPr="00937943" w:rsidRDefault="00937943" w:rsidP="00937943">
      <w:pPr>
        <w:numPr>
          <w:ilvl w:val="0"/>
          <w:numId w:val="3"/>
        </w:numPr>
        <w:tabs>
          <w:tab w:val="num" w:pos="720"/>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iCs/>
          <w:lang w:eastAsia="en-GB"/>
        </w:rPr>
        <w:t>providing quality homes</w:t>
      </w:r>
    </w:p>
    <w:p w:rsidR="00937943" w:rsidRPr="00937943" w:rsidRDefault="00937943" w:rsidP="00937943">
      <w:pPr>
        <w:numPr>
          <w:ilvl w:val="0"/>
          <w:numId w:val="3"/>
        </w:numPr>
        <w:tabs>
          <w:tab w:val="num" w:pos="720"/>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iCs/>
          <w:lang w:eastAsia="en-GB"/>
        </w:rPr>
        <w:t>providing a range of outstanding services</w:t>
      </w:r>
    </w:p>
    <w:p w:rsidR="00937943" w:rsidRPr="00937943" w:rsidRDefault="00937943" w:rsidP="00937943">
      <w:pPr>
        <w:numPr>
          <w:ilvl w:val="0"/>
          <w:numId w:val="3"/>
        </w:numPr>
        <w:tabs>
          <w:tab w:val="num" w:pos="720"/>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iCs/>
          <w:lang w:eastAsia="en-GB"/>
        </w:rPr>
        <w:t>improving the physical and social sustainability of schemes and communities</w:t>
      </w:r>
    </w:p>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iCs/>
          <w:lang w:eastAsia="en-GB"/>
        </w:rPr>
      </w:pPr>
      <w:r w:rsidRPr="00937943">
        <w:rPr>
          <w:rFonts w:ascii="Verdana" w:eastAsia="Times New Roman" w:hAnsi="Verdana" w:cs="Times New Roman"/>
          <w:iCs/>
          <w:lang w:eastAsia="en-GB"/>
        </w:rPr>
        <w:tab/>
        <w:t xml:space="preserve">For us, therefore, achieving </w:t>
      </w:r>
      <w:proofErr w:type="spellStart"/>
      <w:r w:rsidRPr="00937943">
        <w:rPr>
          <w:rFonts w:ascii="Verdana" w:eastAsia="Times New Roman" w:hAnsi="Verdana" w:cs="Times New Roman"/>
          <w:iCs/>
          <w:lang w:eastAsia="en-GB"/>
        </w:rPr>
        <w:t>VfM</w:t>
      </w:r>
      <w:proofErr w:type="spellEnd"/>
      <w:r w:rsidRPr="00937943">
        <w:rPr>
          <w:rFonts w:ascii="Verdana" w:eastAsia="Times New Roman" w:hAnsi="Verdana" w:cs="Times New Roman"/>
          <w:iCs/>
          <w:lang w:eastAsia="en-GB"/>
        </w:rPr>
        <w:t xml:space="preserve"> is about making a bigger difference by providing the quality homes, the best services and best neighbourhoods we possibly can with the resources available. We will do this mindful of the legitimate and sometimes competing interests of our key stakeholders: tenants, local community, local partner organisations (including the three local authorities in which we operate) and funders. </w:t>
      </w:r>
    </w:p>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iCs/>
          <w:lang w:eastAsia="en-GB"/>
        </w:rPr>
      </w:pPr>
    </w:p>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lang w:eastAsia="en-GB"/>
        </w:rPr>
        <w:tab/>
        <w:t xml:space="preserve">In summary, we seek to ensure </w:t>
      </w:r>
      <w:proofErr w:type="spellStart"/>
      <w:r w:rsidRPr="00937943">
        <w:rPr>
          <w:rFonts w:ascii="Verdana" w:eastAsia="Times New Roman" w:hAnsi="Verdana" w:cs="Times New Roman"/>
          <w:lang w:eastAsia="en-GB"/>
        </w:rPr>
        <w:t>VfM</w:t>
      </w:r>
      <w:proofErr w:type="spellEnd"/>
      <w:r w:rsidRPr="00937943">
        <w:rPr>
          <w:rFonts w:ascii="Verdana" w:eastAsia="Times New Roman" w:hAnsi="Verdana" w:cs="Times New Roman"/>
          <w:lang w:eastAsia="en-GB"/>
        </w:rPr>
        <w:t xml:space="preserve"> through:</w:t>
      </w:r>
    </w:p>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p>
    <w:p w:rsidR="00937943" w:rsidRPr="00937943" w:rsidRDefault="00937943" w:rsidP="00937943">
      <w:pPr>
        <w:numPr>
          <w:ilvl w:val="0"/>
          <w:numId w:val="7"/>
        </w:numPr>
        <w:tabs>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 xml:space="preserve">Embedding </w:t>
      </w:r>
      <w:proofErr w:type="spellStart"/>
      <w:r w:rsidRPr="00937943">
        <w:rPr>
          <w:rFonts w:ascii="Verdana" w:eastAsia="Times New Roman" w:hAnsi="Verdana" w:cs="Times New Roman"/>
          <w:lang w:eastAsia="en-GB"/>
        </w:rPr>
        <w:t>VfM</w:t>
      </w:r>
      <w:proofErr w:type="spellEnd"/>
      <w:r w:rsidRPr="00937943">
        <w:rPr>
          <w:rFonts w:ascii="Verdana" w:eastAsia="Times New Roman" w:hAnsi="Verdana" w:cs="Times New Roman"/>
          <w:lang w:eastAsia="en-GB"/>
        </w:rPr>
        <w:t xml:space="preserve"> within the culture of the organisation.                             </w:t>
      </w:r>
    </w:p>
    <w:p w:rsidR="00937943" w:rsidRPr="00937943" w:rsidRDefault="00937943" w:rsidP="00937943">
      <w:pPr>
        <w:numPr>
          <w:ilvl w:val="0"/>
          <w:numId w:val="7"/>
        </w:numPr>
        <w:tabs>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Improving Customer satisfaction and customer involvement.</w:t>
      </w:r>
    </w:p>
    <w:p w:rsidR="00937943" w:rsidRPr="00937943" w:rsidRDefault="00937943" w:rsidP="00937943">
      <w:pPr>
        <w:numPr>
          <w:ilvl w:val="0"/>
          <w:numId w:val="7"/>
        </w:numPr>
        <w:tabs>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Benchmarking and comparing costs to other registered providers.</w:t>
      </w:r>
    </w:p>
    <w:p w:rsidR="00937943" w:rsidRPr="00937943" w:rsidRDefault="00937943" w:rsidP="00937943">
      <w:pPr>
        <w:numPr>
          <w:ilvl w:val="0"/>
          <w:numId w:val="7"/>
        </w:numPr>
        <w:tabs>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 xml:space="preserve">Ensuring financial controls support the delivery, measurement and      reporting of </w:t>
      </w:r>
      <w:proofErr w:type="spellStart"/>
      <w:r w:rsidRPr="00937943">
        <w:rPr>
          <w:rFonts w:ascii="Verdana" w:eastAsia="Times New Roman" w:hAnsi="Verdana" w:cs="Times New Roman"/>
          <w:lang w:eastAsia="en-GB"/>
        </w:rPr>
        <w:t>VfM</w:t>
      </w:r>
      <w:proofErr w:type="spellEnd"/>
      <w:r w:rsidRPr="00937943">
        <w:rPr>
          <w:rFonts w:ascii="Verdana" w:eastAsia="Times New Roman" w:hAnsi="Verdana" w:cs="Times New Roman"/>
          <w:lang w:eastAsia="en-GB"/>
        </w:rPr>
        <w:t>.</w:t>
      </w:r>
    </w:p>
    <w:p w:rsidR="00937943" w:rsidRPr="00937943" w:rsidRDefault="00937943" w:rsidP="00937943">
      <w:pPr>
        <w:numPr>
          <w:ilvl w:val="0"/>
          <w:numId w:val="7"/>
        </w:numPr>
        <w:tabs>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 xml:space="preserve">Ensuring consideration of </w:t>
      </w:r>
      <w:proofErr w:type="spellStart"/>
      <w:r w:rsidRPr="00937943">
        <w:rPr>
          <w:rFonts w:ascii="Verdana" w:eastAsia="Times New Roman" w:hAnsi="Verdana" w:cs="Times New Roman"/>
          <w:lang w:eastAsia="en-GB"/>
        </w:rPr>
        <w:t>VfM</w:t>
      </w:r>
      <w:proofErr w:type="spellEnd"/>
      <w:r w:rsidRPr="00937943">
        <w:rPr>
          <w:rFonts w:ascii="Verdana" w:eastAsia="Times New Roman" w:hAnsi="Verdana" w:cs="Times New Roman"/>
          <w:lang w:eastAsia="en-GB"/>
        </w:rPr>
        <w:t xml:space="preserve"> in all procurement.</w:t>
      </w:r>
    </w:p>
    <w:p w:rsidR="00937943" w:rsidRPr="00937943" w:rsidRDefault="00937943" w:rsidP="00937943">
      <w:pPr>
        <w:numPr>
          <w:ilvl w:val="0"/>
          <w:numId w:val="7"/>
        </w:numPr>
        <w:tabs>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Encouraging Green initiatives and minimising wastage in our operations.</w:t>
      </w:r>
    </w:p>
    <w:p w:rsidR="00937943" w:rsidRPr="00937943" w:rsidRDefault="00937943" w:rsidP="00937943">
      <w:pPr>
        <w:numPr>
          <w:ilvl w:val="0"/>
          <w:numId w:val="7"/>
        </w:numPr>
        <w:tabs>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Increasing partnership activities to provide more cost effective services.</w:t>
      </w:r>
    </w:p>
    <w:p w:rsidR="00937943" w:rsidRPr="00937943" w:rsidRDefault="00937943" w:rsidP="00937943">
      <w:pPr>
        <w:numPr>
          <w:ilvl w:val="0"/>
          <w:numId w:val="7"/>
        </w:numPr>
        <w:tabs>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Improving our housing stock based on the results of our asset management review and 2016 stock condition survey.</w:t>
      </w:r>
    </w:p>
    <w:p w:rsidR="00937943" w:rsidRPr="00937943" w:rsidRDefault="00937943" w:rsidP="00937943">
      <w:pPr>
        <w:numPr>
          <w:ilvl w:val="0"/>
          <w:numId w:val="7"/>
        </w:numPr>
        <w:tabs>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Getting the best returns from our assets.</w:t>
      </w:r>
    </w:p>
    <w:p w:rsidR="00937943" w:rsidRPr="00937943" w:rsidRDefault="00937943" w:rsidP="00937943">
      <w:pPr>
        <w:numPr>
          <w:ilvl w:val="0"/>
          <w:numId w:val="7"/>
        </w:numPr>
        <w:tabs>
          <w:tab w:val="left" w:pos="1260"/>
          <w:tab w:val="left" w:pos="1980"/>
          <w:tab w:val="left" w:pos="2700"/>
          <w:tab w:val="left" w:pos="3420"/>
        </w:tabs>
        <w:spacing w:after="0" w:line="240" w:lineRule="auto"/>
        <w:rPr>
          <w:rFonts w:ascii="Verdana" w:eastAsia="Times New Roman" w:hAnsi="Verdana" w:cs="Times New Roman"/>
          <w:color w:val="FF0000"/>
          <w:lang w:eastAsia="en-GB"/>
        </w:rPr>
      </w:pPr>
      <w:r w:rsidRPr="00937943">
        <w:rPr>
          <w:rFonts w:ascii="Verdana" w:eastAsia="Times New Roman" w:hAnsi="Verdana" w:cs="Times New Roman"/>
          <w:lang w:eastAsia="en-GB"/>
        </w:rPr>
        <w:t>Improving IT services to make LSHA more efficient and cost effective.</w:t>
      </w:r>
      <w:r w:rsidRPr="00937943">
        <w:rPr>
          <w:rFonts w:ascii="Verdana" w:eastAsia="Times New Roman" w:hAnsi="Verdana" w:cs="Times New Roman"/>
          <w:lang w:eastAsia="en-GB"/>
        </w:rPr>
        <w:br/>
      </w:r>
      <w:r w:rsidRPr="00937943">
        <w:rPr>
          <w:rFonts w:ascii="Verdana" w:eastAsia="Times New Roman" w:hAnsi="Verdana" w:cs="Times New Roman"/>
          <w:color w:val="FF0000"/>
          <w:lang w:eastAsia="en-GB"/>
        </w:rPr>
        <w:br/>
      </w:r>
    </w:p>
    <w:p w:rsidR="00937943" w:rsidRPr="00937943" w:rsidRDefault="00937943" w:rsidP="00937943">
      <w:pPr>
        <w:numPr>
          <w:ilvl w:val="1"/>
          <w:numId w:val="9"/>
        </w:numPr>
        <w:tabs>
          <w:tab w:val="left" w:pos="1260"/>
          <w:tab w:val="left" w:pos="1980"/>
          <w:tab w:val="left" w:pos="2700"/>
          <w:tab w:val="left" w:pos="3420"/>
        </w:tabs>
        <w:spacing w:after="0" w:line="240" w:lineRule="auto"/>
        <w:rPr>
          <w:rFonts w:ascii="Verdana" w:eastAsia="Times New Roman" w:hAnsi="Verdana" w:cs="Times New Roman"/>
          <w:b/>
          <w:lang w:eastAsia="en-GB"/>
        </w:rPr>
      </w:pPr>
      <w:r w:rsidRPr="00937943">
        <w:rPr>
          <w:rFonts w:ascii="Verdana" w:eastAsia="Times New Roman" w:hAnsi="Verdana" w:cs="Times New Roman"/>
          <w:b/>
          <w:lang w:eastAsia="en-GB"/>
        </w:rPr>
        <w:t xml:space="preserve">Our arrangements to ensure delivery of </w:t>
      </w:r>
      <w:proofErr w:type="spellStart"/>
      <w:r w:rsidRPr="00937943">
        <w:rPr>
          <w:rFonts w:ascii="Verdana" w:eastAsia="Times New Roman" w:hAnsi="Verdana" w:cs="Times New Roman"/>
          <w:b/>
          <w:lang w:eastAsia="en-GB"/>
        </w:rPr>
        <w:t>VfM</w:t>
      </w:r>
      <w:proofErr w:type="spellEnd"/>
      <w:r w:rsidRPr="00937943">
        <w:rPr>
          <w:rFonts w:ascii="Verdana" w:eastAsia="Times New Roman" w:hAnsi="Verdana" w:cs="Times New Roman"/>
          <w:b/>
          <w:lang w:eastAsia="en-GB"/>
        </w:rPr>
        <w:t xml:space="preserve"> as part of the day job</w:t>
      </w:r>
      <w:r w:rsidRPr="00937943">
        <w:rPr>
          <w:rFonts w:ascii="Verdana" w:eastAsia="Times New Roman" w:hAnsi="Verdana" w:cs="Times New Roman"/>
          <w:b/>
          <w:lang w:eastAsia="en-GB"/>
        </w:rPr>
        <w:br/>
      </w:r>
    </w:p>
    <w:p w:rsidR="00937943" w:rsidRPr="00937943" w:rsidRDefault="00937943" w:rsidP="00937943">
      <w:pPr>
        <w:tabs>
          <w:tab w:val="left" w:pos="1260"/>
          <w:tab w:val="left" w:pos="1980"/>
          <w:tab w:val="left" w:pos="2700"/>
          <w:tab w:val="left" w:pos="3420"/>
        </w:tabs>
        <w:spacing w:after="0" w:line="240" w:lineRule="auto"/>
        <w:ind w:left="1440"/>
        <w:rPr>
          <w:rFonts w:ascii="Verdana" w:eastAsia="Times New Roman" w:hAnsi="Verdana" w:cs="Times New Roman"/>
          <w:lang w:eastAsia="en-GB"/>
        </w:rPr>
      </w:pPr>
      <w:r w:rsidRPr="00937943">
        <w:rPr>
          <w:rFonts w:ascii="Verdana" w:eastAsia="Times New Roman" w:hAnsi="Verdana" w:cs="Times New Roman"/>
          <w:lang w:eastAsia="en-GB"/>
        </w:rPr>
        <w:t>Roles of the Board, Chief Executive, other staff and tenants.</w:t>
      </w:r>
      <w:r w:rsidRPr="00937943">
        <w:rPr>
          <w:rFonts w:ascii="Verdana" w:eastAsia="Times New Roman" w:hAnsi="Verdana" w:cs="Times New Roman"/>
          <w:lang w:eastAsia="en-GB"/>
        </w:rPr>
        <w:br/>
      </w:r>
    </w:p>
    <w:p w:rsidR="00937943" w:rsidRPr="00937943" w:rsidRDefault="00937943" w:rsidP="00937943">
      <w:pPr>
        <w:numPr>
          <w:ilvl w:val="0"/>
          <w:numId w:val="10"/>
        </w:numPr>
        <w:tabs>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lastRenderedPageBreak/>
        <w:t xml:space="preserve">The Board has a responsibility to lead on </w:t>
      </w:r>
      <w:proofErr w:type="spellStart"/>
      <w:r w:rsidRPr="00937943">
        <w:rPr>
          <w:rFonts w:ascii="Verdana" w:eastAsia="Times New Roman" w:hAnsi="Verdana" w:cs="Times New Roman"/>
          <w:lang w:eastAsia="en-GB"/>
        </w:rPr>
        <w:t>VfM</w:t>
      </w:r>
      <w:proofErr w:type="spellEnd"/>
      <w:r w:rsidRPr="00937943">
        <w:rPr>
          <w:rFonts w:ascii="Verdana" w:eastAsia="Times New Roman" w:hAnsi="Verdana" w:cs="Times New Roman"/>
          <w:lang w:eastAsia="en-GB"/>
        </w:rPr>
        <w:t xml:space="preserve"> and actively holding the Chief Executive to account for </w:t>
      </w:r>
      <w:proofErr w:type="spellStart"/>
      <w:r w:rsidRPr="00937943">
        <w:rPr>
          <w:rFonts w:ascii="Verdana" w:eastAsia="Times New Roman" w:hAnsi="Verdana" w:cs="Times New Roman"/>
          <w:lang w:eastAsia="en-GB"/>
        </w:rPr>
        <w:t>VfM</w:t>
      </w:r>
      <w:proofErr w:type="spellEnd"/>
      <w:r w:rsidRPr="00937943">
        <w:rPr>
          <w:rFonts w:ascii="Verdana" w:eastAsia="Times New Roman" w:hAnsi="Verdana" w:cs="Times New Roman"/>
          <w:lang w:eastAsia="en-GB"/>
        </w:rPr>
        <w:t xml:space="preserve"> performance.</w:t>
      </w:r>
    </w:p>
    <w:p w:rsidR="00937943" w:rsidRPr="00937943" w:rsidRDefault="00937943" w:rsidP="00937943">
      <w:pPr>
        <w:numPr>
          <w:ilvl w:val="0"/>
          <w:numId w:val="10"/>
        </w:numPr>
        <w:tabs>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 xml:space="preserve">The Chief Executive has a responsibility to assist and advice the board in determining the organisation’s approach to achieving </w:t>
      </w:r>
      <w:proofErr w:type="spellStart"/>
      <w:r w:rsidRPr="00937943">
        <w:rPr>
          <w:rFonts w:ascii="Verdana" w:eastAsia="Times New Roman" w:hAnsi="Verdana" w:cs="Times New Roman"/>
          <w:lang w:eastAsia="en-GB"/>
        </w:rPr>
        <w:t>VfM</w:t>
      </w:r>
      <w:proofErr w:type="spellEnd"/>
      <w:r w:rsidRPr="00937943">
        <w:rPr>
          <w:rFonts w:ascii="Verdana" w:eastAsia="Times New Roman" w:hAnsi="Verdana" w:cs="Times New Roman"/>
          <w:lang w:eastAsia="en-GB"/>
        </w:rPr>
        <w:t>.</w:t>
      </w:r>
      <w:r w:rsidRPr="00937943">
        <w:rPr>
          <w:rFonts w:ascii="Verdana" w:eastAsia="Times New Roman" w:hAnsi="Verdana" w:cs="Times New Roman"/>
          <w:lang w:eastAsia="en-GB"/>
        </w:rPr>
        <w:br/>
      </w:r>
    </w:p>
    <w:p w:rsidR="00937943" w:rsidRPr="00937943" w:rsidRDefault="00937943" w:rsidP="00937943">
      <w:pPr>
        <w:numPr>
          <w:ilvl w:val="0"/>
          <w:numId w:val="10"/>
        </w:numPr>
        <w:tabs>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 xml:space="preserve">Tenant involvement in </w:t>
      </w:r>
      <w:proofErr w:type="spellStart"/>
      <w:r w:rsidRPr="00937943">
        <w:rPr>
          <w:rFonts w:ascii="Verdana" w:eastAsia="Times New Roman" w:hAnsi="Verdana" w:cs="Times New Roman"/>
          <w:lang w:eastAsia="en-GB"/>
        </w:rPr>
        <w:t>VfM</w:t>
      </w:r>
      <w:proofErr w:type="spellEnd"/>
      <w:r w:rsidRPr="00937943">
        <w:rPr>
          <w:rFonts w:ascii="Verdana" w:eastAsia="Times New Roman" w:hAnsi="Verdana" w:cs="Times New Roman"/>
          <w:lang w:eastAsia="en-GB"/>
        </w:rPr>
        <w:t xml:space="preserve">, </w:t>
      </w:r>
      <w:proofErr w:type="spellStart"/>
      <w:r w:rsidRPr="00937943">
        <w:rPr>
          <w:rFonts w:ascii="Verdana" w:eastAsia="Times New Roman" w:hAnsi="Verdana" w:cs="Times New Roman"/>
          <w:lang w:eastAsia="en-GB"/>
        </w:rPr>
        <w:t>eg</w:t>
      </w:r>
      <w:proofErr w:type="spellEnd"/>
      <w:r w:rsidRPr="00937943">
        <w:rPr>
          <w:rFonts w:ascii="Verdana" w:eastAsia="Times New Roman" w:hAnsi="Verdana" w:cs="Times New Roman"/>
          <w:lang w:eastAsia="en-GB"/>
        </w:rPr>
        <w:t xml:space="preserve"> agreeing priorities (and efficiencies), shaping services and scrutinising service performance and </w:t>
      </w:r>
      <w:proofErr w:type="spellStart"/>
      <w:r w:rsidRPr="00937943">
        <w:rPr>
          <w:rFonts w:ascii="Verdana" w:eastAsia="Times New Roman" w:hAnsi="Verdana" w:cs="Times New Roman"/>
          <w:lang w:eastAsia="en-GB"/>
        </w:rPr>
        <w:t>VfM</w:t>
      </w:r>
      <w:proofErr w:type="spellEnd"/>
      <w:r w:rsidRPr="00937943">
        <w:rPr>
          <w:rFonts w:ascii="Verdana" w:eastAsia="Times New Roman" w:hAnsi="Verdana" w:cs="Times New Roman"/>
          <w:lang w:eastAsia="en-GB"/>
        </w:rPr>
        <w:t>. This is currently primarily achieved via the SOLFED Tenant Scrutiny Panel and is currently under review.</w:t>
      </w:r>
      <w:r w:rsidRPr="00937943">
        <w:rPr>
          <w:rFonts w:ascii="Verdana" w:eastAsia="Times New Roman" w:hAnsi="Verdana" w:cs="Times New Roman"/>
          <w:lang w:eastAsia="en-GB"/>
        </w:rPr>
        <w:br/>
        <w:t xml:space="preserve"> </w:t>
      </w:r>
    </w:p>
    <w:p w:rsidR="00937943" w:rsidRPr="00937943" w:rsidRDefault="00937943" w:rsidP="00937943">
      <w:pPr>
        <w:numPr>
          <w:ilvl w:val="1"/>
          <w:numId w:val="4"/>
        </w:numPr>
        <w:tabs>
          <w:tab w:val="left" w:pos="1260"/>
          <w:tab w:val="left" w:pos="1980"/>
          <w:tab w:val="left" w:pos="2700"/>
          <w:tab w:val="left" w:pos="3420"/>
        </w:tabs>
        <w:spacing w:after="0" w:line="240" w:lineRule="auto"/>
        <w:rPr>
          <w:rFonts w:ascii="Verdana" w:eastAsia="Times New Roman" w:hAnsi="Verdana" w:cs="Times New Roman"/>
          <w:b/>
          <w:lang w:eastAsia="en-GB"/>
        </w:rPr>
      </w:pPr>
      <w:r w:rsidRPr="00937943">
        <w:rPr>
          <w:rFonts w:ascii="Verdana" w:eastAsia="Times New Roman" w:hAnsi="Verdana" w:cs="Times New Roman"/>
          <w:b/>
          <w:lang w:eastAsia="en-GB"/>
        </w:rPr>
        <w:t xml:space="preserve">Assurance (and reporting) framework for </w:t>
      </w:r>
      <w:proofErr w:type="spellStart"/>
      <w:r w:rsidRPr="00937943">
        <w:rPr>
          <w:rFonts w:ascii="Verdana" w:eastAsia="Times New Roman" w:hAnsi="Verdana" w:cs="Times New Roman"/>
          <w:b/>
          <w:lang w:eastAsia="en-GB"/>
        </w:rPr>
        <w:t>VfM</w:t>
      </w:r>
      <w:proofErr w:type="spellEnd"/>
      <w:r w:rsidRPr="00937943">
        <w:rPr>
          <w:rFonts w:ascii="Verdana" w:eastAsia="Times New Roman" w:hAnsi="Verdana" w:cs="Times New Roman"/>
          <w:b/>
          <w:lang w:eastAsia="en-GB"/>
        </w:rPr>
        <w:t>.</w:t>
      </w:r>
      <w:r w:rsidRPr="00937943">
        <w:rPr>
          <w:rFonts w:ascii="Verdana" w:eastAsia="Times New Roman" w:hAnsi="Verdana" w:cs="Times New Roman"/>
          <w:b/>
          <w:lang w:eastAsia="en-GB"/>
        </w:rPr>
        <w:br/>
      </w:r>
    </w:p>
    <w:p w:rsidR="00937943" w:rsidRPr="00937943" w:rsidRDefault="00937943" w:rsidP="00937943">
      <w:pPr>
        <w:numPr>
          <w:ilvl w:val="2"/>
          <w:numId w:val="4"/>
        </w:numPr>
        <w:tabs>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 xml:space="preserve">All Board reports require a </w:t>
      </w:r>
      <w:proofErr w:type="spellStart"/>
      <w:r w:rsidRPr="00937943">
        <w:rPr>
          <w:rFonts w:ascii="Verdana" w:eastAsia="Times New Roman" w:hAnsi="Verdana" w:cs="Times New Roman"/>
          <w:lang w:eastAsia="en-GB"/>
        </w:rPr>
        <w:t>VfM</w:t>
      </w:r>
      <w:proofErr w:type="spellEnd"/>
      <w:r w:rsidRPr="00937943">
        <w:rPr>
          <w:rFonts w:ascii="Verdana" w:eastAsia="Times New Roman" w:hAnsi="Verdana" w:cs="Times New Roman"/>
          <w:lang w:eastAsia="en-GB"/>
        </w:rPr>
        <w:t xml:space="preserve"> comment.</w:t>
      </w:r>
      <w:r w:rsidRPr="00937943">
        <w:rPr>
          <w:rFonts w:ascii="Verdana" w:eastAsia="Times New Roman" w:hAnsi="Verdana" w:cs="Times New Roman"/>
          <w:lang w:eastAsia="en-GB"/>
        </w:rPr>
        <w:br/>
      </w:r>
    </w:p>
    <w:p w:rsidR="00937943" w:rsidRPr="00937943" w:rsidRDefault="00937943" w:rsidP="00937943">
      <w:pPr>
        <w:numPr>
          <w:ilvl w:val="1"/>
          <w:numId w:val="4"/>
        </w:numPr>
        <w:tabs>
          <w:tab w:val="left" w:pos="1260"/>
          <w:tab w:val="left" w:pos="1980"/>
          <w:tab w:val="left" w:pos="2700"/>
          <w:tab w:val="left" w:pos="3420"/>
        </w:tabs>
        <w:spacing w:after="0" w:line="240" w:lineRule="auto"/>
        <w:rPr>
          <w:rFonts w:ascii="Verdana" w:eastAsia="Times New Roman" w:hAnsi="Verdana" w:cs="Times New Roman"/>
          <w:b/>
          <w:lang w:eastAsia="en-GB"/>
        </w:rPr>
      </w:pPr>
      <w:r w:rsidRPr="00937943">
        <w:rPr>
          <w:rFonts w:ascii="Verdana" w:eastAsia="Times New Roman" w:hAnsi="Verdana" w:cs="Times New Roman"/>
          <w:b/>
          <w:lang w:eastAsia="en-GB"/>
        </w:rPr>
        <w:t xml:space="preserve">Extent to which </w:t>
      </w:r>
      <w:proofErr w:type="spellStart"/>
      <w:r w:rsidRPr="00937943">
        <w:rPr>
          <w:rFonts w:ascii="Verdana" w:eastAsia="Times New Roman" w:hAnsi="Verdana" w:cs="Times New Roman"/>
          <w:b/>
          <w:lang w:eastAsia="en-GB"/>
        </w:rPr>
        <w:t>VfM</w:t>
      </w:r>
      <w:proofErr w:type="spellEnd"/>
      <w:r w:rsidRPr="00937943">
        <w:rPr>
          <w:rFonts w:ascii="Verdana" w:eastAsia="Times New Roman" w:hAnsi="Verdana" w:cs="Times New Roman"/>
          <w:b/>
          <w:lang w:eastAsia="en-GB"/>
        </w:rPr>
        <w:t xml:space="preserve"> is embedded in performance management.</w:t>
      </w:r>
      <w:r w:rsidRPr="00937943">
        <w:rPr>
          <w:rFonts w:ascii="Verdana" w:eastAsia="Times New Roman" w:hAnsi="Verdana" w:cs="Times New Roman"/>
          <w:b/>
          <w:lang w:eastAsia="en-GB"/>
        </w:rPr>
        <w:br/>
      </w:r>
    </w:p>
    <w:p w:rsidR="00937943" w:rsidRPr="00937943" w:rsidRDefault="00937943" w:rsidP="00937943">
      <w:pPr>
        <w:numPr>
          <w:ilvl w:val="0"/>
          <w:numId w:val="5"/>
        </w:numPr>
        <w:tabs>
          <w:tab w:val="left" w:pos="1260"/>
          <w:tab w:val="left" w:pos="1980"/>
          <w:tab w:val="left" w:pos="2700"/>
          <w:tab w:val="left" w:pos="3420"/>
        </w:tabs>
        <w:spacing w:after="0" w:line="240" w:lineRule="auto"/>
        <w:rPr>
          <w:rFonts w:ascii="Verdana" w:eastAsia="Times New Roman" w:hAnsi="Verdana" w:cs="Times New Roman"/>
          <w:lang w:eastAsia="en-GB"/>
        </w:rPr>
      </w:pPr>
      <w:proofErr w:type="spellStart"/>
      <w:r w:rsidRPr="00937943">
        <w:rPr>
          <w:rFonts w:ascii="Verdana" w:eastAsia="Times New Roman" w:hAnsi="Verdana" w:cs="Times New Roman"/>
          <w:lang w:eastAsia="en-GB"/>
        </w:rPr>
        <w:t>VfM</w:t>
      </w:r>
      <w:proofErr w:type="spellEnd"/>
      <w:r w:rsidRPr="00937943">
        <w:rPr>
          <w:rFonts w:ascii="Verdana" w:eastAsia="Times New Roman" w:hAnsi="Verdana" w:cs="Times New Roman"/>
          <w:lang w:eastAsia="en-GB"/>
        </w:rPr>
        <w:t xml:space="preserve"> considerations influence business culture and are considered as part of 1:1s and team meetings. </w:t>
      </w:r>
    </w:p>
    <w:p w:rsidR="00937943" w:rsidRPr="00937943" w:rsidRDefault="00937943" w:rsidP="00937943">
      <w:pPr>
        <w:tabs>
          <w:tab w:val="left" w:pos="1260"/>
          <w:tab w:val="left" w:pos="1980"/>
          <w:tab w:val="left" w:pos="2700"/>
          <w:tab w:val="left" w:pos="3420"/>
        </w:tabs>
        <w:spacing w:after="0" w:line="240" w:lineRule="auto"/>
        <w:ind w:left="2160"/>
        <w:rPr>
          <w:rFonts w:ascii="Verdana" w:eastAsia="Times New Roman" w:hAnsi="Verdana" w:cs="Times New Roman"/>
          <w:color w:val="FF0000"/>
          <w:lang w:eastAsia="en-GB"/>
        </w:rPr>
      </w:pPr>
    </w:p>
    <w:p w:rsidR="00937943" w:rsidRPr="00937943" w:rsidRDefault="00937943" w:rsidP="00937943">
      <w:pPr>
        <w:tabs>
          <w:tab w:val="left" w:pos="1260"/>
          <w:tab w:val="left" w:pos="1980"/>
          <w:tab w:val="left" w:pos="2700"/>
          <w:tab w:val="left" w:pos="3420"/>
        </w:tabs>
        <w:spacing w:after="0" w:line="240" w:lineRule="auto"/>
        <w:ind w:left="2160"/>
        <w:rPr>
          <w:rFonts w:ascii="Verdana" w:eastAsia="Times New Roman" w:hAnsi="Verdana" w:cs="Times New Roman"/>
          <w:color w:val="FF0000"/>
          <w:lang w:eastAsia="en-GB"/>
        </w:rPr>
      </w:pPr>
    </w:p>
    <w:p w:rsidR="00937943" w:rsidRPr="00937943" w:rsidRDefault="00937943" w:rsidP="00937943">
      <w:pPr>
        <w:numPr>
          <w:ilvl w:val="1"/>
          <w:numId w:val="9"/>
        </w:numPr>
        <w:tabs>
          <w:tab w:val="left" w:pos="1260"/>
          <w:tab w:val="left" w:pos="1980"/>
          <w:tab w:val="left" w:pos="2700"/>
          <w:tab w:val="left" w:pos="3420"/>
        </w:tabs>
        <w:spacing w:after="0" w:line="240" w:lineRule="auto"/>
        <w:rPr>
          <w:rFonts w:ascii="Verdana" w:eastAsia="Times New Roman" w:hAnsi="Verdana" w:cs="Times New Roman"/>
          <w:b/>
          <w:lang w:eastAsia="en-GB"/>
        </w:rPr>
      </w:pPr>
      <w:r w:rsidRPr="00937943">
        <w:rPr>
          <w:rFonts w:ascii="Verdana" w:eastAsia="Times New Roman" w:hAnsi="Verdana" w:cs="Times New Roman"/>
          <w:b/>
          <w:lang w:eastAsia="en-GB"/>
        </w:rPr>
        <w:t>Our track record – what we have achieved over the past year</w:t>
      </w:r>
      <w:r w:rsidRPr="00937943">
        <w:rPr>
          <w:rFonts w:ascii="Verdana" w:eastAsia="Times New Roman" w:hAnsi="Verdana" w:cs="Times New Roman"/>
          <w:b/>
          <w:lang w:eastAsia="en-GB"/>
        </w:rPr>
        <w:br/>
      </w:r>
    </w:p>
    <w:p w:rsidR="00937943" w:rsidRPr="00937943" w:rsidRDefault="00937943" w:rsidP="00937943">
      <w:pPr>
        <w:numPr>
          <w:ilvl w:val="0"/>
          <w:numId w:val="6"/>
        </w:numPr>
        <w:tabs>
          <w:tab w:val="left" w:pos="1260"/>
          <w:tab w:val="left" w:pos="1980"/>
          <w:tab w:val="left" w:pos="2700"/>
          <w:tab w:val="left" w:pos="3420"/>
        </w:tabs>
        <w:spacing w:after="0" w:line="240" w:lineRule="auto"/>
        <w:rPr>
          <w:rFonts w:ascii="Verdana" w:eastAsia="Times New Roman" w:hAnsi="Verdana" w:cs="Times New Roman"/>
          <w:b/>
          <w:lang w:eastAsia="en-GB"/>
        </w:rPr>
      </w:pPr>
      <w:r w:rsidRPr="00937943">
        <w:rPr>
          <w:rFonts w:ascii="Verdana" w:eastAsia="Times New Roman" w:hAnsi="Verdana" w:cs="Times New Roman"/>
          <w:b/>
          <w:lang w:eastAsia="en-GB"/>
        </w:rPr>
        <w:t xml:space="preserve">Assets </w:t>
      </w:r>
    </w:p>
    <w:p w:rsidR="00937943" w:rsidRPr="00937943" w:rsidRDefault="00937943" w:rsidP="00937943">
      <w:pPr>
        <w:numPr>
          <w:ilvl w:val="1"/>
          <w:numId w:val="6"/>
        </w:numPr>
        <w:tabs>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Successful completion of nine flats at St. Faith’s Road within budget.</w:t>
      </w:r>
    </w:p>
    <w:p w:rsidR="00937943" w:rsidRPr="00937943" w:rsidRDefault="00937943" w:rsidP="00937943">
      <w:pPr>
        <w:numPr>
          <w:ilvl w:val="1"/>
          <w:numId w:val="6"/>
        </w:numPr>
        <w:tabs>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Completion of kitchen and bathroom works at Antony House and Roderick House, Major improvements at 3 Cleaver Square houses</w:t>
      </w:r>
    </w:p>
    <w:p w:rsidR="00937943" w:rsidRPr="00937943" w:rsidRDefault="00937943" w:rsidP="00937943">
      <w:pPr>
        <w:numPr>
          <w:ilvl w:val="1"/>
          <w:numId w:val="6"/>
        </w:numPr>
        <w:tabs>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 xml:space="preserve">Completion of a new stock condition survey. </w:t>
      </w:r>
    </w:p>
    <w:p w:rsidR="00937943" w:rsidRPr="00937943" w:rsidRDefault="00937943" w:rsidP="00937943">
      <w:pPr>
        <w:numPr>
          <w:ilvl w:val="1"/>
          <w:numId w:val="6"/>
        </w:numPr>
        <w:tabs>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 xml:space="preserve">Implement programme of installing low energy ventilation extractor units. </w:t>
      </w:r>
    </w:p>
    <w:p w:rsidR="00937943" w:rsidRPr="00937943" w:rsidRDefault="00937943" w:rsidP="00937943">
      <w:pPr>
        <w:tabs>
          <w:tab w:val="left" w:pos="1260"/>
          <w:tab w:val="left" w:pos="1980"/>
          <w:tab w:val="left" w:pos="2700"/>
          <w:tab w:val="left" w:pos="3420"/>
        </w:tabs>
        <w:spacing w:after="0" w:line="240" w:lineRule="auto"/>
        <w:ind w:left="1080"/>
        <w:rPr>
          <w:rFonts w:ascii="Verdana" w:eastAsia="Times New Roman" w:hAnsi="Verdana" w:cs="Times New Roman"/>
          <w:lang w:eastAsia="en-GB"/>
        </w:rPr>
      </w:pPr>
    </w:p>
    <w:p w:rsidR="00937943" w:rsidRPr="00937943" w:rsidRDefault="00937943" w:rsidP="00937943">
      <w:pPr>
        <w:tabs>
          <w:tab w:val="left" w:pos="1260"/>
          <w:tab w:val="left" w:pos="1980"/>
          <w:tab w:val="left" w:pos="2700"/>
          <w:tab w:val="left" w:pos="3420"/>
        </w:tabs>
        <w:spacing w:after="0" w:line="240" w:lineRule="auto"/>
        <w:ind w:left="1440"/>
        <w:rPr>
          <w:rFonts w:ascii="Verdana" w:eastAsia="Times New Roman" w:hAnsi="Verdana" w:cs="Times New Roman"/>
          <w:lang w:eastAsia="en-GB"/>
        </w:rPr>
      </w:pPr>
    </w:p>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color w:val="FF0000"/>
          <w:lang w:eastAsia="en-GB"/>
        </w:rPr>
      </w:pPr>
    </w:p>
    <w:p w:rsidR="00937943" w:rsidRPr="00937943" w:rsidRDefault="00937943" w:rsidP="00937943">
      <w:pPr>
        <w:numPr>
          <w:ilvl w:val="0"/>
          <w:numId w:val="6"/>
        </w:numPr>
        <w:tabs>
          <w:tab w:val="left" w:pos="1260"/>
          <w:tab w:val="left" w:pos="1980"/>
          <w:tab w:val="left" w:pos="2700"/>
          <w:tab w:val="left" w:pos="3420"/>
        </w:tabs>
        <w:spacing w:after="0" w:line="240" w:lineRule="auto"/>
        <w:rPr>
          <w:rFonts w:ascii="Verdana" w:eastAsia="Times New Roman" w:hAnsi="Verdana" w:cs="Times New Roman"/>
          <w:b/>
          <w:lang w:eastAsia="en-GB"/>
        </w:rPr>
      </w:pPr>
      <w:r w:rsidRPr="00937943">
        <w:rPr>
          <w:rFonts w:ascii="Verdana" w:eastAsia="Times New Roman" w:hAnsi="Verdana" w:cs="Times New Roman"/>
          <w:b/>
          <w:lang w:eastAsia="en-GB"/>
        </w:rPr>
        <w:t xml:space="preserve">Operations </w:t>
      </w:r>
    </w:p>
    <w:p w:rsidR="00937943" w:rsidRPr="00937943" w:rsidRDefault="00937943" w:rsidP="00937943">
      <w:pPr>
        <w:numPr>
          <w:ilvl w:val="1"/>
          <w:numId w:val="6"/>
        </w:numPr>
        <w:tabs>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LSHA is part of the Acuity benchmarking group. This allows LSHA to benchmark performance against other small housing associations in London.</w:t>
      </w:r>
    </w:p>
    <w:p w:rsidR="00937943" w:rsidRPr="00937943" w:rsidRDefault="00937943" w:rsidP="00937943">
      <w:pPr>
        <w:tabs>
          <w:tab w:val="left" w:pos="1260"/>
          <w:tab w:val="left" w:pos="1980"/>
          <w:tab w:val="left" w:pos="2700"/>
          <w:tab w:val="left" w:pos="3420"/>
        </w:tabs>
        <w:spacing w:after="0" w:line="240" w:lineRule="auto"/>
        <w:rPr>
          <w:rFonts w:ascii="Verdana" w:eastAsia="Times New Roman" w:hAnsi="Verdana" w:cs="Times New Roman"/>
          <w:color w:val="FF0000"/>
          <w:lang w:eastAsia="en-GB"/>
        </w:rPr>
      </w:pPr>
    </w:p>
    <w:p w:rsidR="00937943" w:rsidRPr="00937943" w:rsidRDefault="00937943" w:rsidP="00937943">
      <w:pPr>
        <w:tabs>
          <w:tab w:val="left" w:pos="1260"/>
          <w:tab w:val="left" w:pos="1980"/>
          <w:tab w:val="left" w:pos="2700"/>
          <w:tab w:val="left" w:pos="3420"/>
        </w:tabs>
        <w:spacing w:after="0" w:line="240" w:lineRule="auto"/>
        <w:rPr>
          <w:rFonts w:ascii="Verdana" w:eastAsia="Times New Roman" w:hAnsi="Verdana" w:cs="Times New Roman"/>
          <w:color w:val="FF0000"/>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7"/>
        <w:gridCol w:w="1557"/>
        <w:gridCol w:w="1418"/>
        <w:gridCol w:w="1276"/>
        <w:gridCol w:w="2126"/>
      </w:tblGrid>
      <w:tr w:rsidR="00937943" w:rsidRPr="00937943" w:rsidTr="0071024E">
        <w:tc>
          <w:tcPr>
            <w:tcW w:w="3087" w:type="dxa"/>
            <w:shd w:val="clear" w:color="auto" w:fill="BFBFBF"/>
          </w:tcPr>
          <w:p w:rsidR="00937943" w:rsidRPr="00937943" w:rsidRDefault="00937943" w:rsidP="00937943">
            <w:pPr>
              <w:tabs>
                <w:tab w:val="left" w:pos="1260"/>
                <w:tab w:val="left" w:pos="1980"/>
                <w:tab w:val="left" w:pos="2700"/>
                <w:tab w:val="left" w:pos="3420"/>
              </w:tabs>
              <w:spacing w:after="0" w:line="240" w:lineRule="auto"/>
              <w:rPr>
                <w:rFonts w:ascii="Verdana" w:eastAsia="Times New Roman" w:hAnsi="Verdana" w:cs="Times New Roman"/>
                <w:b/>
                <w:szCs w:val="20"/>
                <w:lang w:eastAsia="en-GB"/>
              </w:rPr>
            </w:pPr>
            <w:r w:rsidRPr="00937943">
              <w:rPr>
                <w:rFonts w:ascii="Verdana" w:eastAsia="Times New Roman" w:hAnsi="Verdana" w:cs="Times New Roman"/>
                <w:b/>
                <w:szCs w:val="20"/>
                <w:lang w:eastAsia="en-GB"/>
              </w:rPr>
              <w:t>Financial KPIs</w:t>
            </w:r>
          </w:p>
        </w:tc>
        <w:tc>
          <w:tcPr>
            <w:tcW w:w="1557" w:type="dxa"/>
            <w:shd w:val="clear" w:color="auto" w:fill="BFBFBF"/>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b/>
                <w:szCs w:val="20"/>
                <w:lang w:eastAsia="en-GB"/>
              </w:rPr>
            </w:pPr>
            <w:r w:rsidRPr="00937943">
              <w:rPr>
                <w:rFonts w:ascii="Verdana" w:eastAsia="Times New Roman" w:hAnsi="Verdana" w:cs="Times New Roman"/>
                <w:b/>
                <w:szCs w:val="20"/>
                <w:lang w:eastAsia="en-GB"/>
              </w:rPr>
              <w:t>2015-16</w:t>
            </w:r>
          </w:p>
        </w:tc>
        <w:tc>
          <w:tcPr>
            <w:tcW w:w="1418" w:type="dxa"/>
            <w:shd w:val="clear" w:color="auto" w:fill="BFBFBF"/>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b/>
                <w:szCs w:val="20"/>
                <w:lang w:eastAsia="en-GB"/>
              </w:rPr>
            </w:pPr>
            <w:r w:rsidRPr="00937943">
              <w:rPr>
                <w:rFonts w:ascii="Verdana" w:eastAsia="Times New Roman" w:hAnsi="Verdana" w:cs="Times New Roman"/>
                <w:b/>
                <w:szCs w:val="20"/>
                <w:lang w:eastAsia="en-GB"/>
              </w:rPr>
              <w:t>2014-15</w:t>
            </w:r>
          </w:p>
        </w:tc>
        <w:tc>
          <w:tcPr>
            <w:tcW w:w="1276" w:type="dxa"/>
            <w:shd w:val="clear" w:color="auto" w:fill="BFBFBF"/>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b/>
                <w:szCs w:val="20"/>
                <w:lang w:eastAsia="en-GB"/>
              </w:rPr>
            </w:pPr>
            <w:r w:rsidRPr="00937943">
              <w:rPr>
                <w:rFonts w:ascii="Verdana" w:eastAsia="Times New Roman" w:hAnsi="Verdana" w:cs="Times New Roman"/>
                <w:b/>
                <w:szCs w:val="20"/>
                <w:lang w:eastAsia="en-GB"/>
              </w:rPr>
              <w:t>2013-14</w:t>
            </w:r>
          </w:p>
        </w:tc>
        <w:tc>
          <w:tcPr>
            <w:tcW w:w="2126" w:type="dxa"/>
            <w:shd w:val="clear" w:color="auto" w:fill="BFBFBF"/>
          </w:tcPr>
          <w:p w:rsidR="00937943" w:rsidRPr="00937943" w:rsidRDefault="00937943" w:rsidP="00937943">
            <w:pPr>
              <w:tabs>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Peer Group Quartile 15/16</w:t>
            </w:r>
          </w:p>
        </w:tc>
      </w:tr>
      <w:tr w:rsidR="00937943" w:rsidRPr="00937943" w:rsidTr="0071024E">
        <w:tc>
          <w:tcPr>
            <w:tcW w:w="3087"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szCs w:val="20"/>
                <w:lang w:eastAsia="en-GB"/>
              </w:rPr>
            </w:pPr>
            <w:r w:rsidRPr="00937943">
              <w:rPr>
                <w:rFonts w:ascii="Verdana" w:eastAsia="Times New Roman" w:hAnsi="Verdana" w:cs="Times New Roman"/>
                <w:szCs w:val="20"/>
                <w:lang w:eastAsia="en-GB"/>
              </w:rPr>
              <w:t>Rent collection</w:t>
            </w:r>
          </w:p>
        </w:tc>
        <w:tc>
          <w:tcPr>
            <w:tcW w:w="1557" w:type="dxa"/>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szCs w:val="20"/>
                <w:lang w:eastAsia="en-GB"/>
              </w:rPr>
            </w:pPr>
            <w:r w:rsidRPr="00937943">
              <w:rPr>
                <w:rFonts w:ascii="Verdana" w:eastAsia="Times New Roman" w:hAnsi="Verdana" w:cs="Times New Roman"/>
                <w:szCs w:val="20"/>
                <w:lang w:eastAsia="en-GB"/>
              </w:rPr>
              <w:t>99.5%</w:t>
            </w:r>
          </w:p>
        </w:tc>
        <w:tc>
          <w:tcPr>
            <w:tcW w:w="1418"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szCs w:val="20"/>
                <w:lang w:eastAsia="en-GB"/>
              </w:rPr>
            </w:pPr>
            <w:r w:rsidRPr="00937943">
              <w:rPr>
                <w:rFonts w:ascii="Verdana" w:eastAsia="Times New Roman" w:hAnsi="Verdana" w:cs="Times New Roman"/>
                <w:szCs w:val="20"/>
                <w:lang w:eastAsia="en-GB"/>
              </w:rPr>
              <w:t>100%</w:t>
            </w:r>
          </w:p>
        </w:tc>
        <w:tc>
          <w:tcPr>
            <w:tcW w:w="1276"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szCs w:val="20"/>
                <w:lang w:eastAsia="en-GB"/>
              </w:rPr>
            </w:pPr>
            <w:r w:rsidRPr="00937943">
              <w:rPr>
                <w:rFonts w:ascii="Verdana" w:eastAsia="Times New Roman" w:hAnsi="Verdana" w:cs="Times New Roman"/>
                <w:szCs w:val="20"/>
                <w:lang w:eastAsia="en-GB"/>
              </w:rPr>
              <w:t>100%</w:t>
            </w:r>
          </w:p>
        </w:tc>
        <w:tc>
          <w:tcPr>
            <w:tcW w:w="2126" w:type="dxa"/>
            <w:shd w:val="clear" w:color="auto" w:fill="FF0000"/>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color w:val="FF0000"/>
                <w:lang w:eastAsia="en-GB"/>
              </w:rPr>
            </w:pPr>
          </w:p>
        </w:tc>
      </w:tr>
      <w:tr w:rsidR="00937943" w:rsidRPr="00937943" w:rsidTr="0071024E">
        <w:tc>
          <w:tcPr>
            <w:tcW w:w="3087"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szCs w:val="20"/>
                <w:lang w:eastAsia="en-GB"/>
              </w:rPr>
            </w:pPr>
            <w:r w:rsidRPr="00937943">
              <w:rPr>
                <w:rFonts w:ascii="Verdana" w:eastAsia="Times New Roman" w:hAnsi="Verdana" w:cs="Times New Roman"/>
                <w:szCs w:val="20"/>
                <w:lang w:eastAsia="en-GB"/>
              </w:rPr>
              <w:t>Rent arrears</w:t>
            </w:r>
          </w:p>
        </w:tc>
        <w:tc>
          <w:tcPr>
            <w:tcW w:w="1557" w:type="dxa"/>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szCs w:val="20"/>
                <w:lang w:eastAsia="en-GB"/>
              </w:rPr>
            </w:pPr>
            <w:r w:rsidRPr="00937943">
              <w:rPr>
                <w:rFonts w:ascii="Verdana" w:eastAsia="Times New Roman" w:hAnsi="Verdana" w:cs="Times New Roman"/>
                <w:szCs w:val="20"/>
                <w:lang w:eastAsia="en-GB"/>
              </w:rPr>
              <w:t>4.54%</w:t>
            </w:r>
          </w:p>
        </w:tc>
        <w:tc>
          <w:tcPr>
            <w:tcW w:w="1418"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szCs w:val="20"/>
                <w:lang w:eastAsia="en-GB"/>
              </w:rPr>
            </w:pPr>
            <w:r w:rsidRPr="00937943">
              <w:rPr>
                <w:rFonts w:ascii="Verdana" w:eastAsia="Times New Roman" w:hAnsi="Verdana" w:cs="Times New Roman"/>
                <w:szCs w:val="20"/>
                <w:lang w:eastAsia="en-GB"/>
              </w:rPr>
              <w:t>4.56%</w:t>
            </w:r>
          </w:p>
        </w:tc>
        <w:tc>
          <w:tcPr>
            <w:tcW w:w="1276"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szCs w:val="20"/>
                <w:lang w:eastAsia="en-GB"/>
              </w:rPr>
            </w:pPr>
            <w:r w:rsidRPr="00937943">
              <w:rPr>
                <w:rFonts w:ascii="Verdana" w:eastAsia="Times New Roman" w:hAnsi="Verdana" w:cs="Times New Roman"/>
                <w:szCs w:val="20"/>
                <w:lang w:eastAsia="en-GB"/>
              </w:rPr>
              <w:t>4.95%</w:t>
            </w:r>
          </w:p>
        </w:tc>
        <w:tc>
          <w:tcPr>
            <w:tcW w:w="2126" w:type="dxa"/>
            <w:shd w:val="clear" w:color="auto" w:fill="FFFF00"/>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color w:val="FF0000"/>
                <w:lang w:eastAsia="en-GB"/>
              </w:rPr>
            </w:pPr>
          </w:p>
        </w:tc>
      </w:tr>
      <w:tr w:rsidR="00937943" w:rsidRPr="00937943" w:rsidTr="0071024E">
        <w:tc>
          <w:tcPr>
            <w:tcW w:w="3087"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szCs w:val="20"/>
                <w:lang w:eastAsia="en-GB"/>
              </w:rPr>
            </w:pPr>
            <w:r w:rsidRPr="00937943">
              <w:rPr>
                <w:rFonts w:ascii="Verdana" w:eastAsia="Times New Roman" w:hAnsi="Verdana" w:cs="Times New Roman"/>
                <w:szCs w:val="20"/>
                <w:lang w:eastAsia="en-GB"/>
              </w:rPr>
              <w:t>Void loss</w:t>
            </w:r>
          </w:p>
        </w:tc>
        <w:tc>
          <w:tcPr>
            <w:tcW w:w="1557" w:type="dxa"/>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szCs w:val="20"/>
                <w:lang w:eastAsia="en-GB"/>
              </w:rPr>
            </w:pPr>
            <w:r w:rsidRPr="00937943">
              <w:rPr>
                <w:rFonts w:ascii="Verdana" w:eastAsia="Times New Roman" w:hAnsi="Verdana" w:cs="Times New Roman"/>
                <w:szCs w:val="20"/>
                <w:lang w:eastAsia="en-GB"/>
              </w:rPr>
              <w:t>0.39</w:t>
            </w:r>
          </w:p>
        </w:tc>
        <w:tc>
          <w:tcPr>
            <w:tcW w:w="1418"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szCs w:val="20"/>
                <w:lang w:eastAsia="en-GB"/>
              </w:rPr>
            </w:pPr>
            <w:r w:rsidRPr="00937943">
              <w:rPr>
                <w:rFonts w:ascii="Verdana" w:eastAsia="Times New Roman" w:hAnsi="Verdana" w:cs="Times New Roman"/>
                <w:szCs w:val="20"/>
                <w:lang w:eastAsia="en-GB"/>
              </w:rPr>
              <w:t>0.38%</w:t>
            </w:r>
          </w:p>
        </w:tc>
        <w:tc>
          <w:tcPr>
            <w:tcW w:w="1276"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szCs w:val="20"/>
                <w:lang w:eastAsia="en-GB"/>
              </w:rPr>
            </w:pPr>
            <w:r w:rsidRPr="00937943">
              <w:rPr>
                <w:rFonts w:ascii="Verdana" w:eastAsia="Times New Roman" w:hAnsi="Verdana" w:cs="Times New Roman"/>
                <w:szCs w:val="20"/>
                <w:lang w:eastAsia="en-GB"/>
              </w:rPr>
              <w:t>2.1%</w:t>
            </w:r>
          </w:p>
        </w:tc>
        <w:tc>
          <w:tcPr>
            <w:tcW w:w="2126" w:type="dxa"/>
            <w:shd w:val="clear" w:color="auto" w:fill="FFFF00"/>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color w:val="FF0000"/>
                <w:lang w:eastAsia="en-GB"/>
              </w:rPr>
            </w:pPr>
          </w:p>
        </w:tc>
      </w:tr>
      <w:tr w:rsidR="00937943" w:rsidRPr="00937943" w:rsidTr="0071024E">
        <w:tc>
          <w:tcPr>
            <w:tcW w:w="3087"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szCs w:val="20"/>
                <w:lang w:eastAsia="en-GB"/>
              </w:rPr>
            </w:pPr>
            <w:r w:rsidRPr="00937943">
              <w:rPr>
                <w:rFonts w:ascii="Verdana" w:eastAsia="Times New Roman" w:hAnsi="Verdana" w:cs="Times New Roman"/>
                <w:szCs w:val="20"/>
                <w:lang w:eastAsia="en-GB"/>
              </w:rPr>
              <w:t xml:space="preserve">Average </w:t>
            </w:r>
            <w:proofErr w:type="spellStart"/>
            <w:r w:rsidRPr="00937943">
              <w:rPr>
                <w:rFonts w:ascii="Verdana" w:eastAsia="Times New Roman" w:hAnsi="Verdana" w:cs="Times New Roman"/>
                <w:szCs w:val="20"/>
                <w:lang w:eastAsia="en-GB"/>
              </w:rPr>
              <w:t>relet</w:t>
            </w:r>
            <w:proofErr w:type="spellEnd"/>
            <w:r w:rsidRPr="00937943">
              <w:rPr>
                <w:rFonts w:ascii="Verdana" w:eastAsia="Times New Roman" w:hAnsi="Verdana" w:cs="Times New Roman"/>
                <w:szCs w:val="20"/>
                <w:lang w:eastAsia="en-GB"/>
              </w:rPr>
              <w:t xml:space="preserve"> time</w:t>
            </w:r>
          </w:p>
        </w:tc>
        <w:tc>
          <w:tcPr>
            <w:tcW w:w="1557" w:type="dxa"/>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szCs w:val="20"/>
                <w:lang w:eastAsia="en-GB"/>
              </w:rPr>
            </w:pPr>
            <w:r w:rsidRPr="00937943">
              <w:rPr>
                <w:rFonts w:ascii="Verdana" w:eastAsia="Times New Roman" w:hAnsi="Verdana" w:cs="Times New Roman"/>
                <w:szCs w:val="20"/>
                <w:lang w:eastAsia="en-GB"/>
              </w:rPr>
              <w:t>18</w:t>
            </w:r>
          </w:p>
        </w:tc>
        <w:tc>
          <w:tcPr>
            <w:tcW w:w="1418"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szCs w:val="20"/>
                <w:lang w:eastAsia="en-GB"/>
              </w:rPr>
            </w:pPr>
            <w:r w:rsidRPr="00937943">
              <w:rPr>
                <w:rFonts w:ascii="Verdana" w:eastAsia="Times New Roman" w:hAnsi="Verdana" w:cs="Times New Roman"/>
                <w:szCs w:val="20"/>
                <w:lang w:eastAsia="en-GB"/>
              </w:rPr>
              <w:t>26</w:t>
            </w:r>
          </w:p>
        </w:tc>
        <w:tc>
          <w:tcPr>
            <w:tcW w:w="1276"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szCs w:val="20"/>
                <w:lang w:eastAsia="en-GB"/>
              </w:rPr>
            </w:pPr>
            <w:r w:rsidRPr="00937943">
              <w:rPr>
                <w:rFonts w:ascii="Verdana" w:eastAsia="Times New Roman" w:hAnsi="Verdana" w:cs="Times New Roman"/>
                <w:szCs w:val="20"/>
                <w:lang w:eastAsia="en-GB"/>
              </w:rPr>
              <w:t>16</w:t>
            </w:r>
          </w:p>
        </w:tc>
        <w:tc>
          <w:tcPr>
            <w:tcW w:w="2126" w:type="dxa"/>
            <w:shd w:val="clear" w:color="auto" w:fill="92D050"/>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color w:val="FF0000"/>
                <w:lang w:eastAsia="en-GB"/>
              </w:rPr>
            </w:pPr>
          </w:p>
        </w:tc>
      </w:tr>
      <w:tr w:rsidR="00937943" w:rsidRPr="00937943" w:rsidTr="0071024E">
        <w:tc>
          <w:tcPr>
            <w:tcW w:w="3087"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szCs w:val="20"/>
                <w:lang w:eastAsia="en-GB"/>
              </w:rPr>
            </w:pPr>
            <w:r w:rsidRPr="00937943">
              <w:rPr>
                <w:rFonts w:ascii="Verdana" w:eastAsia="Times New Roman" w:hAnsi="Verdana" w:cs="Times New Roman"/>
                <w:szCs w:val="20"/>
                <w:lang w:eastAsia="en-GB"/>
              </w:rPr>
              <w:t>Debt per unit</w:t>
            </w:r>
          </w:p>
        </w:tc>
        <w:tc>
          <w:tcPr>
            <w:tcW w:w="1557" w:type="dxa"/>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szCs w:val="20"/>
                <w:lang w:eastAsia="en-GB"/>
              </w:rPr>
            </w:pPr>
            <w:r w:rsidRPr="00937943">
              <w:rPr>
                <w:rFonts w:ascii="Verdana" w:eastAsia="Times New Roman" w:hAnsi="Verdana" w:cs="Times New Roman"/>
                <w:szCs w:val="20"/>
                <w:lang w:eastAsia="en-GB"/>
              </w:rPr>
              <w:t>£20,208</w:t>
            </w:r>
          </w:p>
        </w:tc>
        <w:tc>
          <w:tcPr>
            <w:tcW w:w="1418"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szCs w:val="20"/>
                <w:lang w:eastAsia="en-GB"/>
              </w:rPr>
            </w:pPr>
            <w:r w:rsidRPr="00937943">
              <w:rPr>
                <w:rFonts w:ascii="Verdana" w:eastAsia="Times New Roman" w:hAnsi="Verdana" w:cs="Times New Roman"/>
                <w:szCs w:val="20"/>
                <w:lang w:eastAsia="en-GB"/>
              </w:rPr>
              <w:t>£20,447</w:t>
            </w:r>
          </w:p>
        </w:tc>
        <w:tc>
          <w:tcPr>
            <w:tcW w:w="1276"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szCs w:val="20"/>
                <w:lang w:eastAsia="en-GB"/>
              </w:rPr>
            </w:pPr>
            <w:r w:rsidRPr="00937943">
              <w:rPr>
                <w:rFonts w:ascii="Verdana" w:eastAsia="Times New Roman" w:hAnsi="Verdana" w:cs="Times New Roman"/>
                <w:szCs w:val="20"/>
                <w:lang w:eastAsia="en-GB"/>
              </w:rPr>
              <w:t>£12,858</w:t>
            </w:r>
          </w:p>
        </w:tc>
        <w:tc>
          <w:tcPr>
            <w:tcW w:w="2126" w:type="dxa"/>
            <w:shd w:val="clear" w:color="auto" w:fill="92D050"/>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vertAlign w:val="superscript"/>
                <w:lang w:eastAsia="en-GB"/>
              </w:rPr>
              <w:footnoteReference w:id="1"/>
            </w:r>
          </w:p>
        </w:tc>
      </w:tr>
      <w:tr w:rsidR="00937943" w:rsidRPr="00937943" w:rsidTr="0071024E">
        <w:tc>
          <w:tcPr>
            <w:tcW w:w="3087"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szCs w:val="20"/>
                <w:lang w:eastAsia="en-GB"/>
              </w:rPr>
            </w:pPr>
            <w:r w:rsidRPr="00937943">
              <w:rPr>
                <w:rFonts w:ascii="Verdana" w:eastAsia="Times New Roman" w:hAnsi="Verdana" w:cs="Times New Roman"/>
                <w:szCs w:val="20"/>
                <w:lang w:eastAsia="en-GB"/>
              </w:rPr>
              <w:t>Total surplus</w:t>
            </w:r>
          </w:p>
        </w:tc>
        <w:tc>
          <w:tcPr>
            <w:tcW w:w="1557" w:type="dxa"/>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szCs w:val="20"/>
                <w:lang w:eastAsia="en-GB"/>
              </w:rPr>
            </w:pPr>
            <w:r w:rsidRPr="00937943">
              <w:rPr>
                <w:rFonts w:ascii="Verdana" w:eastAsia="Times New Roman" w:hAnsi="Verdana" w:cs="Times New Roman"/>
                <w:szCs w:val="20"/>
                <w:lang w:eastAsia="en-GB"/>
              </w:rPr>
              <w:t>£297,609*</w:t>
            </w:r>
          </w:p>
        </w:tc>
        <w:tc>
          <w:tcPr>
            <w:tcW w:w="1418"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szCs w:val="20"/>
                <w:lang w:eastAsia="en-GB"/>
              </w:rPr>
            </w:pPr>
            <w:r w:rsidRPr="00937943">
              <w:rPr>
                <w:rFonts w:ascii="Verdana" w:eastAsia="Times New Roman" w:hAnsi="Verdana" w:cs="Times New Roman"/>
                <w:szCs w:val="20"/>
                <w:lang w:eastAsia="en-GB"/>
              </w:rPr>
              <w:t>£311,212</w:t>
            </w:r>
          </w:p>
        </w:tc>
        <w:tc>
          <w:tcPr>
            <w:tcW w:w="1276"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szCs w:val="20"/>
                <w:lang w:eastAsia="en-GB"/>
              </w:rPr>
            </w:pPr>
            <w:r w:rsidRPr="00937943">
              <w:rPr>
                <w:rFonts w:ascii="Verdana" w:eastAsia="Times New Roman" w:hAnsi="Verdana" w:cs="Times New Roman"/>
                <w:szCs w:val="20"/>
                <w:lang w:eastAsia="en-GB"/>
              </w:rPr>
              <w:t>£173,642</w:t>
            </w:r>
          </w:p>
        </w:tc>
        <w:tc>
          <w:tcPr>
            <w:tcW w:w="2126"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color w:val="FF0000"/>
                <w:lang w:eastAsia="en-GB"/>
              </w:rPr>
            </w:pPr>
          </w:p>
        </w:tc>
      </w:tr>
    </w:tbl>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color w:val="FF0000"/>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417"/>
        <w:gridCol w:w="1276"/>
        <w:gridCol w:w="1276"/>
        <w:gridCol w:w="2268"/>
      </w:tblGrid>
      <w:tr w:rsidR="00937943" w:rsidRPr="00937943" w:rsidTr="0071024E">
        <w:tc>
          <w:tcPr>
            <w:tcW w:w="3227" w:type="dxa"/>
            <w:shd w:val="clear" w:color="auto" w:fill="BFBFBF"/>
          </w:tcPr>
          <w:p w:rsidR="00937943" w:rsidRPr="00937943" w:rsidRDefault="00937943" w:rsidP="00937943">
            <w:pPr>
              <w:spacing w:after="0" w:line="240" w:lineRule="auto"/>
              <w:rPr>
                <w:rFonts w:ascii="Verdana" w:eastAsia="Times New Roman" w:hAnsi="Verdana" w:cs="Times New Roman"/>
                <w:b/>
                <w:szCs w:val="20"/>
                <w:lang w:eastAsia="en-GB"/>
              </w:rPr>
            </w:pPr>
            <w:r w:rsidRPr="00937943">
              <w:rPr>
                <w:rFonts w:ascii="Verdana" w:eastAsia="Times New Roman" w:hAnsi="Verdana" w:cs="Times New Roman"/>
                <w:b/>
                <w:szCs w:val="20"/>
                <w:lang w:eastAsia="en-GB"/>
              </w:rPr>
              <w:t>Asset Management</w:t>
            </w:r>
          </w:p>
        </w:tc>
        <w:tc>
          <w:tcPr>
            <w:tcW w:w="1417" w:type="dxa"/>
            <w:shd w:val="clear" w:color="auto" w:fill="BFBFBF"/>
          </w:tcPr>
          <w:p w:rsidR="00937943" w:rsidRPr="00937943" w:rsidRDefault="00937943" w:rsidP="00937943">
            <w:pPr>
              <w:spacing w:after="0" w:line="240" w:lineRule="auto"/>
              <w:rPr>
                <w:rFonts w:ascii="Verdana" w:eastAsia="Times New Roman" w:hAnsi="Verdana" w:cs="Times New Roman"/>
                <w:b/>
                <w:szCs w:val="20"/>
                <w:lang w:eastAsia="en-GB"/>
              </w:rPr>
            </w:pPr>
            <w:r w:rsidRPr="00937943">
              <w:rPr>
                <w:rFonts w:ascii="Verdana" w:eastAsia="Times New Roman" w:hAnsi="Verdana" w:cs="Times New Roman"/>
                <w:b/>
                <w:szCs w:val="20"/>
                <w:lang w:eastAsia="en-GB"/>
              </w:rPr>
              <w:t>2015-16</w:t>
            </w:r>
          </w:p>
        </w:tc>
        <w:tc>
          <w:tcPr>
            <w:tcW w:w="1276" w:type="dxa"/>
            <w:shd w:val="clear" w:color="auto" w:fill="BFBFBF"/>
          </w:tcPr>
          <w:p w:rsidR="00937943" w:rsidRPr="00937943" w:rsidRDefault="00937943" w:rsidP="00937943">
            <w:pPr>
              <w:spacing w:after="0" w:line="240" w:lineRule="auto"/>
              <w:rPr>
                <w:rFonts w:ascii="Verdana" w:eastAsia="Times New Roman" w:hAnsi="Verdana" w:cs="Times New Roman"/>
                <w:b/>
                <w:szCs w:val="20"/>
                <w:lang w:eastAsia="en-GB"/>
              </w:rPr>
            </w:pPr>
            <w:r w:rsidRPr="00937943">
              <w:rPr>
                <w:rFonts w:ascii="Verdana" w:eastAsia="Times New Roman" w:hAnsi="Verdana" w:cs="Times New Roman"/>
                <w:b/>
                <w:szCs w:val="20"/>
                <w:lang w:eastAsia="en-GB"/>
              </w:rPr>
              <w:t>2014-15</w:t>
            </w:r>
          </w:p>
        </w:tc>
        <w:tc>
          <w:tcPr>
            <w:tcW w:w="1276" w:type="dxa"/>
            <w:shd w:val="clear" w:color="auto" w:fill="BFBFBF"/>
          </w:tcPr>
          <w:p w:rsidR="00937943" w:rsidRPr="00937943" w:rsidRDefault="00937943" w:rsidP="00937943">
            <w:pPr>
              <w:spacing w:after="0" w:line="240" w:lineRule="auto"/>
              <w:rPr>
                <w:rFonts w:ascii="Verdana" w:eastAsia="Times New Roman" w:hAnsi="Verdana" w:cs="Times New Roman"/>
                <w:b/>
                <w:szCs w:val="20"/>
                <w:lang w:eastAsia="en-GB"/>
              </w:rPr>
            </w:pPr>
            <w:r w:rsidRPr="00937943">
              <w:rPr>
                <w:rFonts w:ascii="Verdana" w:eastAsia="Times New Roman" w:hAnsi="Verdana" w:cs="Times New Roman"/>
                <w:b/>
                <w:szCs w:val="20"/>
                <w:lang w:eastAsia="en-GB"/>
              </w:rPr>
              <w:t>2013-14</w:t>
            </w:r>
          </w:p>
        </w:tc>
        <w:tc>
          <w:tcPr>
            <w:tcW w:w="2268" w:type="dxa"/>
            <w:shd w:val="clear" w:color="auto" w:fill="BFBFBF"/>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lang w:eastAsia="en-GB"/>
              </w:rPr>
              <w:t xml:space="preserve">Peer Group Qu. </w:t>
            </w:r>
            <w:r w:rsidRPr="00937943">
              <w:rPr>
                <w:rFonts w:ascii="Verdana" w:eastAsia="Times New Roman" w:hAnsi="Verdana" w:cs="Times New Roman"/>
                <w:lang w:eastAsia="en-GB"/>
              </w:rPr>
              <w:lastRenderedPageBreak/>
              <w:t>15/16</w:t>
            </w:r>
          </w:p>
        </w:tc>
      </w:tr>
      <w:tr w:rsidR="00937943" w:rsidRPr="00937943" w:rsidTr="0071024E">
        <w:tc>
          <w:tcPr>
            <w:tcW w:w="3227" w:type="dxa"/>
            <w:shd w:val="clear" w:color="auto" w:fill="auto"/>
          </w:tcPr>
          <w:p w:rsidR="00937943" w:rsidRPr="00937943" w:rsidRDefault="00937943" w:rsidP="00937943">
            <w:pPr>
              <w:spacing w:after="0" w:line="240" w:lineRule="auto"/>
              <w:rPr>
                <w:rFonts w:ascii="Verdana" w:eastAsia="Calibri" w:hAnsi="Verdana" w:cs="Arial"/>
              </w:rPr>
            </w:pPr>
            <w:r w:rsidRPr="00937943">
              <w:rPr>
                <w:rFonts w:ascii="Verdana" w:eastAsia="Calibri" w:hAnsi="Verdana" w:cs="Arial"/>
                <w:szCs w:val="20"/>
                <w:lang w:eastAsia="en-GB"/>
              </w:rPr>
              <w:lastRenderedPageBreak/>
              <w:t>Decent homes compliance</w:t>
            </w:r>
          </w:p>
        </w:tc>
        <w:tc>
          <w:tcPr>
            <w:tcW w:w="1417" w:type="dxa"/>
          </w:tcPr>
          <w:p w:rsidR="00937943" w:rsidRPr="00937943" w:rsidRDefault="00937943" w:rsidP="00937943">
            <w:pPr>
              <w:spacing w:after="0" w:line="240" w:lineRule="auto"/>
              <w:jc w:val="center"/>
              <w:rPr>
                <w:rFonts w:ascii="Verdana" w:eastAsia="Calibri" w:hAnsi="Verdana" w:cs="Arial"/>
                <w:szCs w:val="20"/>
                <w:lang w:eastAsia="en-GB"/>
              </w:rPr>
            </w:pPr>
            <w:r w:rsidRPr="00937943">
              <w:rPr>
                <w:rFonts w:ascii="Verdana" w:eastAsia="Calibri" w:hAnsi="Verdana" w:cs="Arial"/>
                <w:szCs w:val="20"/>
                <w:lang w:eastAsia="en-GB"/>
              </w:rPr>
              <w:t>100%</w:t>
            </w:r>
          </w:p>
        </w:tc>
        <w:tc>
          <w:tcPr>
            <w:tcW w:w="1276" w:type="dxa"/>
            <w:shd w:val="clear" w:color="auto" w:fill="auto"/>
          </w:tcPr>
          <w:p w:rsidR="00937943" w:rsidRPr="00937943" w:rsidRDefault="00937943" w:rsidP="00937943">
            <w:pPr>
              <w:spacing w:after="0" w:line="240" w:lineRule="auto"/>
              <w:jc w:val="center"/>
              <w:rPr>
                <w:rFonts w:ascii="Verdana" w:eastAsia="Calibri" w:hAnsi="Verdana" w:cs="Arial"/>
              </w:rPr>
            </w:pPr>
            <w:r w:rsidRPr="00937943">
              <w:rPr>
                <w:rFonts w:ascii="Verdana" w:eastAsia="Calibri" w:hAnsi="Verdana" w:cs="Arial"/>
                <w:szCs w:val="20"/>
                <w:lang w:eastAsia="en-GB"/>
              </w:rPr>
              <w:t>100%</w:t>
            </w:r>
          </w:p>
        </w:tc>
        <w:tc>
          <w:tcPr>
            <w:tcW w:w="1276" w:type="dxa"/>
            <w:shd w:val="clear" w:color="auto" w:fill="auto"/>
          </w:tcPr>
          <w:p w:rsidR="00937943" w:rsidRPr="00937943" w:rsidRDefault="00937943" w:rsidP="00937943">
            <w:pPr>
              <w:spacing w:after="0" w:line="240" w:lineRule="auto"/>
              <w:jc w:val="center"/>
              <w:rPr>
                <w:rFonts w:ascii="Verdana" w:eastAsia="Calibri" w:hAnsi="Verdana" w:cs="Arial"/>
              </w:rPr>
            </w:pPr>
            <w:r w:rsidRPr="00937943">
              <w:rPr>
                <w:rFonts w:ascii="Verdana" w:eastAsia="Calibri" w:hAnsi="Verdana" w:cs="Arial"/>
                <w:szCs w:val="20"/>
                <w:lang w:eastAsia="en-GB"/>
              </w:rPr>
              <w:t>100%</w:t>
            </w:r>
          </w:p>
        </w:tc>
        <w:tc>
          <w:tcPr>
            <w:tcW w:w="2268" w:type="dxa"/>
            <w:shd w:val="clear" w:color="auto" w:fill="92D050"/>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color w:val="FF0000"/>
                <w:lang w:eastAsia="en-GB"/>
              </w:rPr>
            </w:pPr>
          </w:p>
        </w:tc>
      </w:tr>
      <w:tr w:rsidR="00937943" w:rsidRPr="00937943" w:rsidTr="0071024E">
        <w:tc>
          <w:tcPr>
            <w:tcW w:w="3227" w:type="dxa"/>
            <w:shd w:val="clear" w:color="auto" w:fill="auto"/>
          </w:tcPr>
          <w:p w:rsidR="00937943" w:rsidRPr="00937943" w:rsidRDefault="00937943" w:rsidP="00937943">
            <w:pPr>
              <w:spacing w:after="0" w:line="240" w:lineRule="auto"/>
              <w:rPr>
                <w:rFonts w:ascii="Verdana" w:eastAsia="Times New Roman" w:hAnsi="Verdana" w:cs="Times New Roman"/>
                <w:szCs w:val="20"/>
                <w:lang w:eastAsia="en-GB"/>
              </w:rPr>
            </w:pPr>
            <w:r w:rsidRPr="00937943">
              <w:rPr>
                <w:rFonts w:ascii="Verdana" w:eastAsia="Times New Roman" w:hAnsi="Verdana" w:cs="Times New Roman"/>
                <w:szCs w:val="20"/>
                <w:lang w:eastAsia="en-GB"/>
              </w:rPr>
              <w:t>Emergency repairs on time</w:t>
            </w:r>
          </w:p>
        </w:tc>
        <w:tc>
          <w:tcPr>
            <w:tcW w:w="1417" w:type="dxa"/>
          </w:tcPr>
          <w:p w:rsidR="00937943" w:rsidRPr="00937943" w:rsidRDefault="00937943" w:rsidP="00937943">
            <w:pPr>
              <w:spacing w:after="0" w:line="240" w:lineRule="auto"/>
              <w:rPr>
                <w:rFonts w:ascii="Verdana" w:eastAsia="Times New Roman" w:hAnsi="Verdana" w:cs="Times New Roman"/>
                <w:szCs w:val="20"/>
                <w:lang w:eastAsia="en-GB"/>
              </w:rPr>
            </w:pPr>
            <w:r w:rsidRPr="00937943">
              <w:rPr>
                <w:rFonts w:ascii="Verdana" w:eastAsia="Times New Roman" w:hAnsi="Verdana" w:cs="Times New Roman"/>
                <w:szCs w:val="20"/>
                <w:lang w:eastAsia="en-GB"/>
              </w:rPr>
              <w:t>100%</w:t>
            </w:r>
          </w:p>
        </w:tc>
        <w:tc>
          <w:tcPr>
            <w:tcW w:w="1276" w:type="dxa"/>
            <w:shd w:val="clear" w:color="auto" w:fill="auto"/>
          </w:tcPr>
          <w:p w:rsidR="00937943" w:rsidRPr="00937943" w:rsidRDefault="00937943" w:rsidP="00937943">
            <w:pPr>
              <w:spacing w:after="0" w:line="240" w:lineRule="auto"/>
              <w:rPr>
                <w:rFonts w:ascii="Verdana" w:eastAsia="Times New Roman" w:hAnsi="Verdana" w:cs="Times New Roman"/>
                <w:szCs w:val="20"/>
                <w:lang w:eastAsia="en-GB"/>
              </w:rPr>
            </w:pPr>
            <w:r w:rsidRPr="00937943">
              <w:rPr>
                <w:rFonts w:ascii="Verdana" w:eastAsia="Times New Roman" w:hAnsi="Verdana" w:cs="Times New Roman"/>
                <w:szCs w:val="20"/>
                <w:lang w:eastAsia="en-GB"/>
              </w:rPr>
              <w:t>100%</w:t>
            </w:r>
          </w:p>
        </w:tc>
        <w:tc>
          <w:tcPr>
            <w:tcW w:w="1276" w:type="dxa"/>
            <w:shd w:val="clear" w:color="auto" w:fill="auto"/>
          </w:tcPr>
          <w:p w:rsidR="00937943" w:rsidRPr="00937943" w:rsidRDefault="00937943" w:rsidP="00937943">
            <w:pPr>
              <w:spacing w:after="0" w:line="240" w:lineRule="auto"/>
              <w:rPr>
                <w:rFonts w:ascii="Verdana" w:eastAsia="Times New Roman" w:hAnsi="Verdana" w:cs="Times New Roman"/>
                <w:szCs w:val="20"/>
                <w:lang w:eastAsia="en-GB"/>
              </w:rPr>
            </w:pPr>
            <w:r w:rsidRPr="00937943">
              <w:rPr>
                <w:rFonts w:ascii="Verdana" w:eastAsia="Times New Roman" w:hAnsi="Verdana" w:cs="Times New Roman"/>
                <w:szCs w:val="20"/>
                <w:lang w:eastAsia="en-GB"/>
              </w:rPr>
              <w:t>100%</w:t>
            </w:r>
          </w:p>
        </w:tc>
        <w:tc>
          <w:tcPr>
            <w:tcW w:w="2268" w:type="dxa"/>
            <w:shd w:val="clear" w:color="auto" w:fill="92D050"/>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color w:val="FF0000"/>
                <w:lang w:eastAsia="en-GB"/>
              </w:rPr>
            </w:pPr>
          </w:p>
        </w:tc>
      </w:tr>
      <w:tr w:rsidR="00937943" w:rsidRPr="00937943" w:rsidTr="0071024E">
        <w:tc>
          <w:tcPr>
            <w:tcW w:w="3227" w:type="dxa"/>
            <w:shd w:val="clear" w:color="auto" w:fill="auto"/>
          </w:tcPr>
          <w:p w:rsidR="00937943" w:rsidRPr="00937943" w:rsidRDefault="00937943" w:rsidP="00937943">
            <w:pPr>
              <w:spacing w:after="0" w:line="240" w:lineRule="auto"/>
              <w:rPr>
                <w:rFonts w:ascii="Verdana" w:eastAsia="Times New Roman" w:hAnsi="Verdana" w:cs="Times New Roman"/>
                <w:szCs w:val="20"/>
                <w:lang w:eastAsia="en-GB"/>
              </w:rPr>
            </w:pPr>
            <w:r w:rsidRPr="00937943">
              <w:rPr>
                <w:rFonts w:ascii="Verdana" w:eastAsia="Times New Roman" w:hAnsi="Verdana" w:cs="Times New Roman"/>
                <w:szCs w:val="20"/>
                <w:lang w:eastAsia="en-GB"/>
              </w:rPr>
              <w:t>Urgent repairs on time</w:t>
            </w:r>
          </w:p>
        </w:tc>
        <w:tc>
          <w:tcPr>
            <w:tcW w:w="1417" w:type="dxa"/>
          </w:tcPr>
          <w:p w:rsidR="00937943" w:rsidRPr="00937943" w:rsidRDefault="00937943" w:rsidP="00937943">
            <w:pPr>
              <w:spacing w:after="0" w:line="240" w:lineRule="auto"/>
              <w:rPr>
                <w:rFonts w:ascii="Verdana" w:eastAsia="Times New Roman" w:hAnsi="Verdana" w:cs="Times New Roman"/>
                <w:szCs w:val="20"/>
                <w:lang w:eastAsia="en-GB"/>
              </w:rPr>
            </w:pPr>
            <w:r w:rsidRPr="00937943">
              <w:rPr>
                <w:rFonts w:ascii="Verdana" w:eastAsia="Times New Roman" w:hAnsi="Verdana" w:cs="Times New Roman"/>
                <w:szCs w:val="20"/>
                <w:lang w:eastAsia="en-GB"/>
              </w:rPr>
              <w:t>94.2</w:t>
            </w:r>
          </w:p>
        </w:tc>
        <w:tc>
          <w:tcPr>
            <w:tcW w:w="1276" w:type="dxa"/>
            <w:shd w:val="clear" w:color="auto" w:fill="auto"/>
          </w:tcPr>
          <w:p w:rsidR="00937943" w:rsidRPr="00937943" w:rsidRDefault="00937943" w:rsidP="00937943">
            <w:pPr>
              <w:spacing w:after="0" w:line="240" w:lineRule="auto"/>
              <w:rPr>
                <w:rFonts w:ascii="Verdana" w:eastAsia="Times New Roman" w:hAnsi="Verdana" w:cs="Times New Roman"/>
                <w:szCs w:val="20"/>
                <w:lang w:eastAsia="en-GB"/>
              </w:rPr>
            </w:pPr>
            <w:r w:rsidRPr="00937943">
              <w:rPr>
                <w:rFonts w:ascii="Verdana" w:eastAsia="Times New Roman" w:hAnsi="Verdana" w:cs="Times New Roman"/>
                <w:szCs w:val="20"/>
                <w:lang w:eastAsia="en-GB"/>
              </w:rPr>
              <w:t>96.9%</w:t>
            </w:r>
          </w:p>
        </w:tc>
        <w:tc>
          <w:tcPr>
            <w:tcW w:w="1276" w:type="dxa"/>
            <w:shd w:val="clear" w:color="auto" w:fill="auto"/>
          </w:tcPr>
          <w:p w:rsidR="00937943" w:rsidRPr="00937943" w:rsidRDefault="00937943" w:rsidP="00937943">
            <w:pPr>
              <w:spacing w:after="0" w:line="240" w:lineRule="auto"/>
              <w:rPr>
                <w:rFonts w:ascii="Verdana" w:eastAsia="Times New Roman" w:hAnsi="Verdana" w:cs="Times New Roman"/>
                <w:szCs w:val="20"/>
                <w:lang w:eastAsia="en-GB"/>
              </w:rPr>
            </w:pPr>
            <w:r w:rsidRPr="00937943">
              <w:rPr>
                <w:rFonts w:ascii="Verdana" w:eastAsia="Times New Roman" w:hAnsi="Verdana" w:cs="Times New Roman"/>
                <w:szCs w:val="20"/>
                <w:lang w:eastAsia="en-GB"/>
              </w:rPr>
              <w:t>94%</w:t>
            </w:r>
          </w:p>
        </w:tc>
        <w:tc>
          <w:tcPr>
            <w:tcW w:w="2268" w:type="dxa"/>
            <w:shd w:val="clear" w:color="auto" w:fill="FF0000"/>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color w:val="FF0000"/>
                <w:lang w:eastAsia="en-GB"/>
              </w:rPr>
            </w:pPr>
          </w:p>
        </w:tc>
      </w:tr>
      <w:tr w:rsidR="00937943" w:rsidRPr="00937943" w:rsidTr="0071024E">
        <w:tc>
          <w:tcPr>
            <w:tcW w:w="3227" w:type="dxa"/>
            <w:shd w:val="clear" w:color="auto" w:fill="auto"/>
          </w:tcPr>
          <w:p w:rsidR="00937943" w:rsidRPr="00937943" w:rsidRDefault="00937943" w:rsidP="00937943">
            <w:pPr>
              <w:spacing w:after="0" w:line="240" w:lineRule="auto"/>
              <w:rPr>
                <w:rFonts w:ascii="Verdana" w:eastAsia="Times New Roman" w:hAnsi="Verdana" w:cs="Times New Roman"/>
                <w:szCs w:val="20"/>
                <w:lang w:eastAsia="en-GB"/>
              </w:rPr>
            </w:pPr>
            <w:r w:rsidRPr="00937943">
              <w:rPr>
                <w:rFonts w:ascii="Verdana" w:eastAsia="Times New Roman" w:hAnsi="Verdana" w:cs="Times New Roman"/>
                <w:szCs w:val="20"/>
                <w:lang w:eastAsia="en-GB"/>
              </w:rPr>
              <w:t>Routine repairs on time</w:t>
            </w:r>
          </w:p>
        </w:tc>
        <w:tc>
          <w:tcPr>
            <w:tcW w:w="1417" w:type="dxa"/>
          </w:tcPr>
          <w:p w:rsidR="00937943" w:rsidRPr="00937943" w:rsidRDefault="00937943" w:rsidP="00937943">
            <w:pPr>
              <w:spacing w:after="0" w:line="240" w:lineRule="auto"/>
              <w:rPr>
                <w:rFonts w:ascii="Verdana" w:eastAsia="Times New Roman" w:hAnsi="Verdana" w:cs="Times New Roman"/>
                <w:szCs w:val="20"/>
                <w:lang w:eastAsia="en-GB"/>
              </w:rPr>
            </w:pPr>
            <w:r w:rsidRPr="00937943">
              <w:rPr>
                <w:rFonts w:ascii="Verdana" w:eastAsia="Times New Roman" w:hAnsi="Verdana" w:cs="Times New Roman"/>
                <w:szCs w:val="20"/>
                <w:lang w:eastAsia="en-GB"/>
              </w:rPr>
              <w:t>96.2</w:t>
            </w:r>
          </w:p>
        </w:tc>
        <w:tc>
          <w:tcPr>
            <w:tcW w:w="1276" w:type="dxa"/>
            <w:shd w:val="clear" w:color="auto" w:fill="auto"/>
          </w:tcPr>
          <w:p w:rsidR="00937943" w:rsidRPr="00937943" w:rsidRDefault="00937943" w:rsidP="00937943">
            <w:pPr>
              <w:spacing w:after="0" w:line="240" w:lineRule="auto"/>
              <w:rPr>
                <w:rFonts w:ascii="Verdana" w:eastAsia="Times New Roman" w:hAnsi="Verdana" w:cs="Times New Roman"/>
                <w:szCs w:val="20"/>
                <w:lang w:eastAsia="en-GB"/>
              </w:rPr>
            </w:pPr>
            <w:r w:rsidRPr="00937943">
              <w:rPr>
                <w:rFonts w:ascii="Verdana" w:eastAsia="Times New Roman" w:hAnsi="Verdana" w:cs="Times New Roman"/>
                <w:szCs w:val="20"/>
                <w:lang w:eastAsia="en-GB"/>
              </w:rPr>
              <w:t>100%</w:t>
            </w:r>
          </w:p>
        </w:tc>
        <w:tc>
          <w:tcPr>
            <w:tcW w:w="1276" w:type="dxa"/>
            <w:shd w:val="clear" w:color="auto" w:fill="auto"/>
          </w:tcPr>
          <w:p w:rsidR="00937943" w:rsidRPr="00937943" w:rsidRDefault="00937943" w:rsidP="00937943">
            <w:pPr>
              <w:spacing w:after="0" w:line="240" w:lineRule="auto"/>
              <w:rPr>
                <w:rFonts w:ascii="Verdana" w:eastAsia="Times New Roman" w:hAnsi="Verdana" w:cs="Times New Roman"/>
                <w:szCs w:val="20"/>
                <w:lang w:eastAsia="en-GB"/>
              </w:rPr>
            </w:pPr>
            <w:r w:rsidRPr="00937943">
              <w:rPr>
                <w:rFonts w:ascii="Verdana" w:eastAsia="Times New Roman" w:hAnsi="Verdana" w:cs="Times New Roman"/>
                <w:szCs w:val="20"/>
                <w:lang w:eastAsia="en-GB"/>
              </w:rPr>
              <w:t>96%</w:t>
            </w:r>
          </w:p>
        </w:tc>
        <w:tc>
          <w:tcPr>
            <w:tcW w:w="2268" w:type="dxa"/>
            <w:shd w:val="clear" w:color="auto" w:fill="FFFF00"/>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color w:val="FF0000"/>
                <w:lang w:eastAsia="en-GB"/>
              </w:rPr>
            </w:pPr>
          </w:p>
        </w:tc>
      </w:tr>
      <w:tr w:rsidR="00937943" w:rsidRPr="00937943" w:rsidTr="0071024E">
        <w:tc>
          <w:tcPr>
            <w:tcW w:w="3227" w:type="dxa"/>
            <w:shd w:val="clear" w:color="auto" w:fill="auto"/>
          </w:tcPr>
          <w:p w:rsidR="00937943" w:rsidRPr="00937943" w:rsidRDefault="00937943" w:rsidP="00937943">
            <w:pPr>
              <w:spacing w:after="0" w:line="240" w:lineRule="auto"/>
              <w:rPr>
                <w:rFonts w:ascii="Verdana" w:eastAsia="Times New Roman" w:hAnsi="Verdana" w:cs="Times New Roman"/>
                <w:szCs w:val="20"/>
                <w:lang w:eastAsia="en-GB"/>
              </w:rPr>
            </w:pPr>
            <w:r w:rsidRPr="00937943">
              <w:rPr>
                <w:rFonts w:ascii="Verdana" w:eastAsia="Times New Roman" w:hAnsi="Verdana" w:cs="Times New Roman"/>
                <w:szCs w:val="20"/>
                <w:lang w:eastAsia="en-GB"/>
              </w:rPr>
              <w:t>Gas inspections completed</w:t>
            </w:r>
          </w:p>
        </w:tc>
        <w:tc>
          <w:tcPr>
            <w:tcW w:w="1417" w:type="dxa"/>
          </w:tcPr>
          <w:p w:rsidR="00937943" w:rsidRPr="00937943" w:rsidRDefault="00937943" w:rsidP="00937943">
            <w:pPr>
              <w:spacing w:after="0" w:line="240" w:lineRule="auto"/>
              <w:rPr>
                <w:rFonts w:ascii="Verdana" w:eastAsia="Times New Roman" w:hAnsi="Verdana" w:cs="Times New Roman"/>
                <w:szCs w:val="20"/>
                <w:lang w:eastAsia="en-GB"/>
              </w:rPr>
            </w:pPr>
            <w:r w:rsidRPr="00937943">
              <w:rPr>
                <w:rFonts w:ascii="Verdana" w:eastAsia="Times New Roman" w:hAnsi="Verdana" w:cs="Times New Roman"/>
                <w:szCs w:val="20"/>
                <w:lang w:eastAsia="en-GB"/>
              </w:rPr>
              <w:t>100%</w:t>
            </w:r>
          </w:p>
        </w:tc>
        <w:tc>
          <w:tcPr>
            <w:tcW w:w="1276" w:type="dxa"/>
            <w:shd w:val="clear" w:color="auto" w:fill="auto"/>
          </w:tcPr>
          <w:p w:rsidR="00937943" w:rsidRPr="00937943" w:rsidRDefault="00937943" w:rsidP="00937943">
            <w:pPr>
              <w:spacing w:after="0" w:line="240" w:lineRule="auto"/>
              <w:rPr>
                <w:rFonts w:ascii="Verdana" w:eastAsia="Times New Roman" w:hAnsi="Verdana" w:cs="Times New Roman"/>
                <w:szCs w:val="20"/>
                <w:lang w:eastAsia="en-GB"/>
              </w:rPr>
            </w:pPr>
            <w:r w:rsidRPr="00937943">
              <w:rPr>
                <w:rFonts w:ascii="Verdana" w:eastAsia="Times New Roman" w:hAnsi="Verdana" w:cs="Times New Roman"/>
                <w:szCs w:val="20"/>
                <w:lang w:eastAsia="en-GB"/>
              </w:rPr>
              <w:t>100%</w:t>
            </w:r>
          </w:p>
        </w:tc>
        <w:tc>
          <w:tcPr>
            <w:tcW w:w="1276" w:type="dxa"/>
            <w:shd w:val="clear" w:color="auto" w:fill="auto"/>
          </w:tcPr>
          <w:p w:rsidR="00937943" w:rsidRPr="00937943" w:rsidRDefault="00937943" w:rsidP="00937943">
            <w:pPr>
              <w:spacing w:after="0" w:line="240" w:lineRule="auto"/>
              <w:rPr>
                <w:rFonts w:ascii="Verdana" w:eastAsia="Times New Roman" w:hAnsi="Verdana" w:cs="Times New Roman"/>
                <w:szCs w:val="20"/>
                <w:lang w:eastAsia="en-GB"/>
              </w:rPr>
            </w:pPr>
            <w:r w:rsidRPr="00937943">
              <w:rPr>
                <w:rFonts w:ascii="Verdana" w:eastAsia="Times New Roman" w:hAnsi="Verdana" w:cs="Times New Roman"/>
                <w:szCs w:val="20"/>
                <w:lang w:eastAsia="en-GB"/>
              </w:rPr>
              <w:t>100%</w:t>
            </w:r>
          </w:p>
        </w:tc>
        <w:tc>
          <w:tcPr>
            <w:tcW w:w="2268" w:type="dxa"/>
            <w:shd w:val="clear" w:color="auto" w:fill="92D050"/>
          </w:tcPr>
          <w:p w:rsidR="00937943" w:rsidRPr="00937943" w:rsidRDefault="00937943" w:rsidP="00937943">
            <w:pPr>
              <w:spacing w:after="0" w:line="240" w:lineRule="auto"/>
              <w:rPr>
                <w:rFonts w:ascii="Arial" w:eastAsia="Times New Roman" w:hAnsi="Arial" w:cs="Times New Roman"/>
                <w:szCs w:val="20"/>
                <w:lang w:eastAsia="en-GB"/>
              </w:rPr>
            </w:pPr>
          </w:p>
        </w:tc>
      </w:tr>
      <w:tr w:rsidR="00937943" w:rsidRPr="00937943" w:rsidTr="0071024E">
        <w:tc>
          <w:tcPr>
            <w:tcW w:w="3227"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lang w:eastAsia="en-GB"/>
              </w:rPr>
              <w:t>Reactive Maintenance costs per unit</w:t>
            </w:r>
          </w:p>
        </w:tc>
        <w:tc>
          <w:tcPr>
            <w:tcW w:w="1417" w:type="dxa"/>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lang w:eastAsia="en-GB"/>
              </w:rPr>
              <w:t>£869</w:t>
            </w:r>
          </w:p>
        </w:tc>
        <w:tc>
          <w:tcPr>
            <w:tcW w:w="1276"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lang w:eastAsia="en-GB"/>
              </w:rPr>
              <w:t>£705</w:t>
            </w:r>
          </w:p>
        </w:tc>
        <w:tc>
          <w:tcPr>
            <w:tcW w:w="1276"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lang w:eastAsia="en-GB"/>
              </w:rPr>
              <w:t>£823</w:t>
            </w:r>
          </w:p>
        </w:tc>
        <w:tc>
          <w:tcPr>
            <w:tcW w:w="2268" w:type="dxa"/>
            <w:shd w:val="clear" w:color="auto" w:fill="FFFF00"/>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color w:val="FF0000"/>
                <w:lang w:eastAsia="en-GB"/>
              </w:rPr>
            </w:pPr>
          </w:p>
        </w:tc>
      </w:tr>
      <w:tr w:rsidR="00937943" w:rsidRPr="00937943" w:rsidTr="0071024E">
        <w:tc>
          <w:tcPr>
            <w:tcW w:w="3227"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lang w:eastAsia="en-GB"/>
              </w:rPr>
              <w:t>Major repair &amp; planned costs per unit</w:t>
            </w:r>
          </w:p>
        </w:tc>
        <w:tc>
          <w:tcPr>
            <w:tcW w:w="1417" w:type="dxa"/>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lang w:eastAsia="en-GB"/>
              </w:rPr>
              <w:t>£1441</w:t>
            </w:r>
          </w:p>
        </w:tc>
        <w:tc>
          <w:tcPr>
            <w:tcW w:w="1276"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lang w:eastAsia="en-GB"/>
              </w:rPr>
              <w:t>£1328</w:t>
            </w:r>
          </w:p>
        </w:tc>
        <w:tc>
          <w:tcPr>
            <w:tcW w:w="1276"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lang w:eastAsia="en-GB"/>
              </w:rPr>
              <w:t>£1328</w:t>
            </w:r>
          </w:p>
        </w:tc>
        <w:tc>
          <w:tcPr>
            <w:tcW w:w="2268" w:type="dxa"/>
            <w:shd w:val="clear" w:color="auto" w:fill="FFFF00"/>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color w:val="FF0000"/>
                <w:lang w:eastAsia="en-GB"/>
              </w:rPr>
            </w:pPr>
          </w:p>
        </w:tc>
      </w:tr>
      <w:tr w:rsidR="00937943" w:rsidRPr="00937943" w:rsidTr="0071024E">
        <w:tc>
          <w:tcPr>
            <w:tcW w:w="3227"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lang w:eastAsia="en-GB"/>
              </w:rPr>
              <w:t>Total spend on asset management³</w:t>
            </w:r>
          </w:p>
        </w:tc>
        <w:tc>
          <w:tcPr>
            <w:tcW w:w="1417" w:type="dxa"/>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lang w:eastAsia="en-GB"/>
              </w:rPr>
              <w:t>£2,310</w:t>
            </w:r>
          </w:p>
        </w:tc>
        <w:tc>
          <w:tcPr>
            <w:tcW w:w="1276"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lang w:eastAsia="en-GB"/>
              </w:rPr>
              <w:t>£2033</w:t>
            </w:r>
          </w:p>
        </w:tc>
        <w:tc>
          <w:tcPr>
            <w:tcW w:w="1276"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lang w:eastAsia="en-GB"/>
              </w:rPr>
              <w:t>£2151</w:t>
            </w:r>
          </w:p>
        </w:tc>
        <w:tc>
          <w:tcPr>
            <w:tcW w:w="2268" w:type="dxa"/>
            <w:shd w:val="clear" w:color="auto" w:fill="FFFF00"/>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color w:val="FF0000"/>
                <w:lang w:eastAsia="en-GB"/>
              </w:rPr>
            </w:pPr>
          </w:p>
        </w:tc>
      </w:tr>
      <w:tr w:rsidR="00937943" w:rsidRPr="00937943" w:rsidTr="0071024E">
        <w:tc>
          <w:tcPr>
            <w:tcW w:w="3227"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lang w:eastAsia="en-GB"/>
              </w:rPr>
              <w:t xml:space="preserve">Reactive maintenance expenditure° </w:t>
            </w:r>
          </w:p>
        </w:tc>
        <w:tc>
          <w:tcPr>
            <w:tcW w:w="1417" w:type="dxa"/>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lang w:eastAsia="en-GB"/>
              </w:rPr>
              <w:t>38%</w:t>
            </w:r>
          </w:p>
        </w:tc>
        <w:tc>
          <w:tcPr>
            <w:tcW w:w="1276"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lang w:eastAsia="en-GB"/>
              </w:rPr>
              <w:t>39%</w:t>
            </w:r>
          </w:p>
        </w:tc>
        <w:tc>
          <w:tcPr>
            <w:tcW w:w="1276"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lang w:eastAsia="en-GB"/>
              </w:rPr>
              <w:t>33%</w:t>
            </w:r>
          </w:p>
        </w:tc>
        <w:tc>
          <w:tcPr>
            <w:tcW w:w="2268" w:type="dxa"/>
            <w:shd w:val="clear" w:color="auto" w:fill="FFFF00"/>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color w:val="FF0000"/>
                <w:lang w:eastAsia="en-GB"/>
              </w:rPr>
            </w:pPr>
          </w:p>
        </w:tc>
      </w:tr>
      <w:tr w:rsidR="00937943" w:rsidRPr="00937943" w:rsidTr="0071024E">
        <w:trPr>
          <w:trHeight w:val="338"/>
        </w:trPr>
        <w:tc>
          <w:tcPr>
            <w:tcW w:w="3227"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lang w:eastAsia="en-GB"/>
              </w:rPr>
              <w:t>Planned maintenance expenditure°</w:t>
            </w:r>
          </w:p>
        </w:tc>
        <w:tc>
          <w:tcPr>
            <w:tcW w:w="1417" w:type="dxa"/>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lang w:eastAsia="en-GB"/>
              </w:rPr>
              <w:t>62%</w:t>
            </w:r>
          </w:p>
        </w:tc>
        <w:tc>
          <w:tcPr>
            <w:tcW w:w="1276"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lang w:eastAsia="en-GB"/>
              </w:rPr>
              <w:t>61%</w:t>
            </w:r>
          </w:p>
        </w:tc>
        <w:tc>
          <w:tcPr>
            <w:tcW w:w="1276" w:type="dxa"/>
            <w:shd w:val="clear" w:color="auto" w:fill="auto"/>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lang w:eastAsia="en-GB"/>
              </w:rPr>
              <w:t>67%</w:t>
            </w:r>
          </w:p>
        </w:tc>
        <w:tc>
          <w:tcPr>
            <w:tcW w:w="2268" w:type="dxa"/>
            <w:shd w:val="clear" w:color="auto" w:fill="FFFF00"/>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color w:val="FF0000"/>
                <w:lang w:eastAsia="en-GB"/>
              </w:rPr>
            </w:pPr>
          </w:p>
        </w:tc>
      </w:tr>
    </w:tbl>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color w:val="FF0000"/>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gridCol w:w="1276"/>
        <w:gridCol w:w="1249"/>
        <w:gridCol w:w="2295"/>
      </w:tblGrid>
      <w:tr w:rsidR="00937943" w:rsidRPr="00937943" w:rsidTr="0071024E">
        <w:tc>
          <w:tcPr>
            <w:tcW w:w="3227" w:type="dxa"/>
            <w:shd w:val="clear" w:color="auto" w:fill="BFBFBF"/>
          </w:tcPr>
          <w:p w:rsidR="00937943" w:rsidRPr="00937943" w:rsidRDefault="00937943" w:rsidP="00937943">
            <w:pPr>
              <w:spacing w:after="0" w:line="240" w:lineRule="auto"/>
              <w:rPr>
                <w:rFonts w:ascii="Arial" w:eastAsia="Times New Roman" w:hAnsi="Arial" w:cs="Times New Roman"/>
                <w:b/>
                <w:szCs w:val="20"/>
                <w:lang w:eastAsia="en-GB"/>
              </w:rPr>
            </w:pPr>
            <w:r w:rsidRPr="00937943">
              <w:rPr>
                <w:rFonts w:ascii="Arial" w:eastAsia="Times New Roman" w:hAnsi="Arial" w:cs="Times New Roman"/>
                <w:b/>
                <w:szCs w:val="20"/>
                <w:lang w:eastAsia="en-GB"/>
              </w:rPr>
              <w:t>Customer Satisfaction</w:t>
            </w:r>
          </w:p>
        </w:tc>
        <w:tc>
          <w:tcPr>
            <w:tcW w:w="1417" w:type="dxa"/>
            <w:shd w:val="clear" w:color="auto" w:fill="BFBFBF"/>
          </w:tcPr>
          <w:p w:rsidR="00937943" w:rsidRPr="00937943" w:rsidRDefault="00937943" w:rsidP="00937943">
            <w:pPr>
              <w:spacing w:after="0" w:line="240" w:lineRule="auto"/>
              <w:rPr>
                <w:rFonts w:ascii="Arial" w:eastAsia="Times New Roman" w:hAnsi="Arial" w:cs="Times New Roman"/>
                <w:b/>
                <w:szCs w:val="20"/>
                <w:lang w:eastAsia="en-GB"/>
              </w:rPr>
            </w:pPr>
            <w:r w:rsidRPr="00937943">
              <w:rPr>
                <w:rFonts w:ascii="Arial" w:eastAsia="Times New Roman" w:hAnsi="Arial" w:cs="Times New Roman"/>
                <w:b/>
                <w:szCs w:val="20"/>
                <w:lang w:eastAsia="en-GB"/>
              </w:rPr>
              <w:t>2014-16</w:t>
            </w:r>
          </w:p>
        </w:tc>
        <w:tc>
          <w:tcPr>
            <w:tcW w:w="1276" w:type="dxa"/>
            <w:shd w:val="clear" w:color="auto" w:fill="BFBFBF"/>
          </w:tcPr>
          <w:p w:rsidR="00937943" w:rsidRPr="00937943" w:rsidRDefault="00937943" w:rsidP="00937943">
            <w:pPr>
              <w:spacing w:after="0" w:line="240" w:lineRule="auto"/>
              <w:rPr>
                <w:rFonts w:ascii="Arial" w:eastAsia="Times New Roman" w:hAnsi="Arial" w:cs="Times New Roman"/>
                <w:b/>
                <w:szCs w:val="20"/>
                <w:lang w:eastAsia="en-GB"/>
              </w:rPr>
            </w:pPr>
            <w:r w:rsidRPr="00937943">
              <w:rPr>
                <w:rFonts w:ascii="Arial" w:eastAsia="Times New Roman" w:hAnsi="Arial" w:cs="Times New Roman"/>
                <w:b/>
                <w:szCs w:val="20"/>
                <w:lang w:eastAsia="en-GB"/>
              </w:rPr>
              <w:t>2014-15</w:t>
            </w:r>
          </w:p>
        </w:tc>
        <w:tc>
          <w:tcPr>
            <w:tcW w:w="1249" w:type="dxa"/>
            <w:shd w:val="clear" w:color="auto" w:fill="BFBFBF"/>
          </w:tcPr>
          <w:p w:rsidR="00937943" w:rsidRPr="00937943" w:rsidRDefault="00937943" w:rsidP="00937943">
            <w:pPr>
              <w:spacing w:after="0" w:line="240" w:lineRule="auto"/>
              <w:rPr>
                <w:rFonts w:ascii="Arial" w:eastAsia="Times New Roman" w:hAnsi="Arial" w:cs="Times New Roman"/>
                <w:b/>
                <w:szCs w:val="20"/>
                <w:lang w:eastAsia="en-GB"/>
              </w:rPr>
            </w:pPr>
            <w:r w:rsidRPr="00937943">
              <w:rPr>
                <w:rFonts w:ascii="Arial" w:eastAsia="Times New Roman" w:hAnsi="Arial" w:cs="Times New Roman"/>
                <w:b/>
                <w:szCs w:val="20"/>
                <w:lang w:eastAsia="en-GB"/>
              </w:rPr>
              <w:t>2013-14</w:t>
            </w:r>
          </w:p>
        </w:tc>
        <w:tc>
          <w:tcPr>
            <w:tcW w:w="2295" w:type="dxa"/>
            <w:shd w:val="clear" w:color="auto" w:fill="BFBFBF"/>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lang w:eastAsia="en-GB"/>
              </w:rPr>
              <w:t>Peer Group Qu. 15/16</w:t>
            </w:r>
          </w:p>
        </w:tc>
      </w:tr>
      <w:tr w:rsidR="00937943" w:rsidRPr="00937943" w:rsidTr="0071024E">
        <w:tc>
          <w:tcPr>
            <w:tcW w:w="3227" w:type="dxa"/>
            <w:shd w:val="clear" w:color="auto" w:fill="auto"/>
          </w:tcPr>
          <w:p w:rsidR="00937943" w:rsidRPr="00937943" w:rsidRDefault="00937943" w:rsidP="00937943">
            <w:pPr>
              <w:spacing w:after="0" w:line="240" w:lineRule="auto"/>
              <w:rPr>
                <w:rFonts w:ascii="Arial" w:eastAsia="Times New Roman" w:hAnsi="Arial" w:cs="Times New Roman"/>
                <w:szCs w:val="20"/>
                <w:lang w:eastAsia="en-GB"/>
              </w:rPr>
            </w:pPr>
            <w:r w:rsidRPr="00937943">
              <w:rPr>
                <w:rFonts w:ascii="Arial" w:eastAsia="Times New Roman" w:hAnsi="Arial" w:cs="Times New Roman"/>
                <w:szCs w:val="20"/>
                <w:lang w:eastAsia="en-GB"/>
              </w:rPr>
              <w:t>Overall satisfaction**</w:t>
            </w:r>
          </w:p>
        </w:tc>
        <w:tc>
          <w:tcPr>
            <w:tcW w:w="1417" w:type="dxa"/>
            <w:shd w:val="clear" w:color="auto" w:fill="auto"/>
          </w:tcPr>
          <w:p w:rsidR="00937943" w:rsidRPr="00937943" w:rsidRDefault="00937943" w:rsidP="00937943">
            <w:pPr>
              <w:spacing w:after="0" w:line="240" w:lineRule="auto"/>
              <w:rPr>
                <w:rFonts w:ascii="Arial" w:eastAsia="Times New Roman" w:hAnsi="Arial" w:cs="Times New Roman"/>
                <w:szCs w:val="20"/>
                <w:lang w:eastAsia="en-GB"/>
              </w:rPr>
            </w:pPr>
            <w:r w:rsidRPr="00937943">
              <w:rPr>
                <w:rFonts w:ascii="Arial" w:eastAsia="Times New Roman" w:hAnsi="Arial" w:cs="Times New Roman"/>
                <w:szCs w:val="20"/>
                <w:lang w:eastAsia="en-GB"/>
              </w:rPr>
              <w:t>91%</w:t>
            </w:r>
          </w:p>
        </w:tc>
        <w:tc>
          <w:tcPr>
            <w:tcW w:w="1276" w:type="dxa"/>
            <w:shd w:val="clear" w:color="auto" w:fill="auto"/>
          </w:tcPr>
          <w:p w:rsidR="00937943" w:rsidRPr="00937943" w:rsidRDefault="00937943" w:rsidP="00937943">
            <w:pPr>
              <w:spacing w:after="0" w:line="240" w:lineRule="auto"/>
              <w:rPr>
                <w:rFonts w:ascii="Arial" w:eastAsia="Times New Roman" w:hAnsi="Arial" w:cs="Times New Roman"/>
                <w:szCs w:val="20"/>
                <w:lang w:eastAsia="en-GB"/>
              </w:rPr>
            </w:pPr>
            <w:r w:rsidRPr="00937943">
              <w:rPr>
                <w:rFonts w:ascii="Arial" w:eastAsia="Times New Roman" w:hAnsi="Arial" w:cs="Times New Roman"/>
                <w:szCs w:val="20"/>
                <w:lang w:eastAsia="en-GB"/>
              </w:rPr>
              <w:t>75%</w:t>
            </w:r>
          </w:p>
        </w:tc>
        <w:tc>
          <w:tcPr>
            <w:tcW w:w="1249" w:type="dxa"/>
            <w:shd w:val="clear" w:color="auto" w:fill="auto"/>
          </w:tcPr>
          <w:p w:rsidR="00937943" w:rsidRPr="00937943" w:rsidRDefault="00937943" w:rsidP="00937943">
            <w:pPr>
              <w:spacing w:after="0" w:line="240" w:lineRule="auto"/>
              <w:rPr>
                <w:rFonts w:ascii="Arial" w:eastAsia="Times New Roman" w:hAnsi="Arial" w:cs="Times New Roman"/>
                <w:szCs w:val="20"/>
                <w:lang w:eastAsia="en-GB"/>
              </w:rPr>
            </w:pPr>
            <w:r w:rsidRPr="00937943">
              <w:rPr>
                <w:rFonts w:ascii="Arial" w:eastAsia="Times New Roman" w:hAnsi="Arial" w:cs="Times New Roman"/>
                <w:szCs w:val="20"/>
                <w:lang w:eastAsia="en-GB"/>
              </w:rPr>
              <w:t>75%</w:t>
            </w:r>
          </w:p>
        </w:tc>
        <w:tc>
          <w:tcPr>
            <w:tcW w:w="2295" w:type="dxa"/>
            <w:shd w:val="clear" w:color="auto" w:fill="92D050"/>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color w:val="FF0000"/>
                <w:lang w:eastAsia="en-GB"/>
              </w:rPr>
            </w:pPr>
          </w:p>
        </w:tc>
      </w:tr>
      <w:tr w:rsidR="00937943" w:rsidRPr="00937943" w:rsidTr="0071024E">
        <w:tc>
          <w:tcPr>
            <w:tcW w:w="3227" w:type="dxa"/>
            <w:shd w:val="clear" w:color="auto" w:fill="auto"/>
          </w:tcPr>
          <w:p w:rsidR="00937943" w:rsidRPr="00937943" w:rsidRDefault="00937943" w:rsidP="00937943">
            <w:pPr>
              <w:spacing w:after="0" w:line="240" w:lineRule="auto"/>
              <w:rPr>
                <w:rFonts w:ascii="Arial" w:eastAsia="Times New Roman" w:hAnsi="Arial" w:cs="Times New Roman"/>
                <w:szCs w:val="20"/>
                <w:lang w:eastAsia="en-GB"/>
              </w:rPr>
            </w:pPr>
            <w:r w:rsidRPr="00937943">
              <w:rPr>
                <w:rFonts w:ascii="Arial" w:eastAsia="Times New Roman" w:hAnsi="Arial" w:cs="Times New Roman"/>
                <w:szCs w:val="20"/>
                <w:lang w:eastAsia="en-GB"/>
              </w:rPr>
              <w:t>Customer satisfaction with repairs</w:t>
            </w:r>
          </w:p>
        </w:tc>
        <w:tc>
          <w:tcPr>
            <w:tcW w:w="1417" w:type="dxa"/>
            <w:shd w:val="clear" w:color="auto" w:fill="auto"/>
          </w:tcPr>
          <w:p w:rsidR="00937943" w:rsidRPr="00937943" w:rsidRDefault="00937943" w:rsidP="00937943">
            <w:pPr>
              <w:spacing w:after="0" w:line="240" w:lineRule="auto"/>
              <w:rPr>
                <w:rFonts w:ascii="Arial" w:eastAsia="Times New Roman" w:hAnsi="Arial" w:cs="Times New Roman"/>
                <w:szCs w:val="20"/>
                <w:lang w:eastAsia="en-GB"/>
              </w:rPr>
            </w:pPr>
            <w:r w:rsidRPr="00937943">
              <w:rPr>
                <w:rFonts w:ascii="Arial" w:eastAsia="Times New Roman" w:hAnsi="Arial" w:cs="Times New Roman"/>
                <w:szCs w:val="20"/>
                <w:lang w:eastAsia="en-GB"/>
              </w:rPr>
              <w:t>97%</w:t>
            </w:r>
          </w:p>
        </w:tc>
        <w:tc>
          <w:tcPr>
            <w:tcW w:w="1276" w:type="dxa"/>
            <w:shd w:val="clear" w:color="auto" w:fill="auto"/>
          </w:tcPr>
          <w:p w:rsidR="00937943" w:rsidRPr="00937943" w:rsidRDefault="00937943" w:rsidP="00937943">
            <w:pPr>
              <w:spacing w:after="0" w:line="240" w:lineRule="auto"/>
              <w:rPr>
                <w:rFonts w:ascii="Arial" w:eastAsia="Times New Roman" w:hAnsi="Arial" w:cs="Times New Roman"/>
                <w:szCs w:val="20"/>
                <w:lang w:eastAsia="en-GB"/>
              </w:rPr>
            </w:pPr>
            <w:r w:rsidRPr="00937943">
              <w:rPr>
                <w:rFonts w:ascii="Arial" w:eastAsia="Times New Roman" w:hAnsi="Arial" w:cs="Times New Roman"/>
                <w:szCs w:val="20"/>
                <w:lang w:eastAsia="en-GB"/>
              </w:rPr>
              <w:t>95%</w:t>
            </w:r>
          </w:p>
        </w:tc>
        <w:tc>
          <w:tcPr>
            <w:tcW w:w="1249" w:type="dxa"/>
            <w:shd w:val="clear" w:color="auto" w:fill="auto"/>
          </w:tcPr>
          <w:p w:rsidR="00937943" w:rsidRPr="00937943" w:rsidRDefault="00937943" w:rsidP="00937943">
            <w:pPr>
              <w:spacing w:after="0" w:line="240" w:lineRule="auto"/>
              <w:rPr>
                <w:rFonts w:ascii="Arial" w:eastAsia="Times New Roman" w:hAnsi="Arial" w:cs="Times New Roman"/>
                <w:szCs w:val="20"/>
                <w:lang w:eastAsia="en-GB"/>
              </w:rPr>
            </w:pPr>
            <w:r w:rsidRPr="00937943">
              <w:rPr>
                <w:rFonts w:ascii="Arial" w:eastAsia="Times New Roman" w:hAnsi="Arial" w:cs="Times New Roman"/>
                <w:szCs w:val="20"/>
                <w:lang w:eastAsia="en-GB"/>
              </w:rPr>
              <w:t>78%</w:t>
            </w:r>
          </w:p>
        </w:tc>
        <w:tc>
          <w:tcPr>
            <w:tcW w:w="2295" w:type="dxa"/>
            <w:shd w:val="clear" w:color="auto" w:fill="92D050"/>
          </w:tcPr>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color w:val="FF0000"/>
                <w:lang w:eastAsia="en-GB"/>
              </w:rPr>
            </w:pPr>
          </w:p>
        </w:tc>
      </w:tr>
    </w:tbl>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color w:val="FF0000"/>
          <w:lang w:eastAsia="en-GB"/>
        </w:rPr>
      </w:pPr>
    </w:p>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lang w:eastAsia="en-GB"/>
        </w:rPr>
        <w:t>*Provisional</w:t>
      </w:r>
      <w:r w:rsidRPr="00937943">
        <w:rPr>
          <w:rFonts w:ascii="Arial" w:eastAsia="Times New Roman" w:hAnsi="Arial" w:cs="Times New Roman"/>
          <w:szCs w:val="20"/>
          <w:lang w:eastAsia="en-GB"/>
        </w:rPr>
        <w:t xml:space="preserve"> </w:t>
      </w:r>
      <w:r w:rsidRPr="00937943">
        <w:rPr>
          <w:rFonts w:ascii="Verdana" w:eastAsia="Times New Roman" w:hAnsi="Verdana" w:cs="Times New Roman"/>
          <w:lang w:eastAsia="en-GB"/>
        </w:rPr>
        <w:t xml:space="preserve">Unaudited figure - Based on 2015/16 year end management accounts. </w:t>
      </w:r>
    </w:p>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lang w:eastAsia="en-GB"/>
        </w:rPr>
        <w:t xml:space="preserve">¹Result: this gives the position as at the end of the financial year 2015/16. </w:t>
      </w:r>
    </w:p>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lang w:eastAsia="en-GB"/>
        </w:rPr>
        <w:t>²Shows the quartile within which LSHA performed compared to the sector as a whole. Wherever possible comparisons are made with the Acuity London benchmarking group. LSHA operates a different financial year than a number of other housing associations so it is not always possible to make a direct comparison on a number of KPIs.</w:t>
      </w:r>
    </w:p>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lang w:eastAsia="en-GB"/>
        </w:rPr>
      </w:pPr>
      <w:r w:rsidRPr="00937943">
        <w:rPr>
          <w:rFonts w:ascii="Verdana" w:eastAsia="Times New Roman" w:hAnsi="Verdana" w:cs="Times New Roman"/>
          <w:lang w:eastAsia="en-GB"/>
        </w:rPr>
        <w:t xml:space="preserve">° Expressed as a % of total maintenance expenditure. </w:t>
      </w:r>
    </w:p>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color w:val="FF0000"/>
          <w:lang w:eastAsia="en-GB"/>
        </w:rPr>
      </w:pPr>
      <w:r w:rsidRPr="00937943">
        <w:rPr>
          <w:rFonts w:ascii="Verdana" w:eastAsia="Times New Roman" w:hAnsi="Verdana" w:cs="Times New Roman"/>
          <w:lang w:eastAsia="en-GB"/>
        </w:rPr>
        <w:t>**Based on 2016 telephone survey</w:t>
      </w:r>
      <w:r w:rsidRPr="00937943">
        <w:rPr>
          <w:rFonts w:ascii="Verdana" w:eastAsia="Times New Roman" w:hAnsi="Verdana" w:cs="Times New Roman"/>
          <w:lang w:eastAsia="en-GB"/>
        </w:rPr>
        <w:br/>
      </w:r>
    </w:p>
    <w:p w:rsidR="00937943" w:rsidRPr="00937943" w:rsidRDefault="00937943" w:rsidP="00937943">
      <w:pPr>
        <w:tabs>
          <w:tab w:val="left" w:pos="1260"/>
          <w:tab w:val="left" w:pos="1980"/>
          <w:tab w:val="left" w:pos="2700"/>
          <w:tab w:val="left" w:pos="3420"/>
        </w:tabs>
        <w:spacing w:after="0" w:line="240" w:lineRule="auto"/>
        <w:ind w:left="1260" w:hanging="1260"/>
        <w:rPr>
          <w:rFonts w:ascii="Verdana" w:eastAsia="Times New Roman" w:hAnsi="Verdana" w:cs="Times New Roman"/>
          <w:color w:val="FF0000"/>
          <w:lang w:eastAsia="en-GB"/>
        </w:rPr>
      </w:pPr>
    </w:p>
    <w:p w:rsidR="00937943" w:rsidRPr="00937943" w:rsidRDefault="00937943" w:rsidP="00937943">
      <w:pPr>
        <w:tabs>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 xml:space="preserve">Practical </w:t>
      </w:r>
      <w:proofErr w:type="spellStart"/>
      <w:r w:rsidRPr="00937943">
        <w:rPr>
          <w:rFonts w:ascii="Verdana" w:eastAsia="Times New Roman" w:hAnsi="Verdana" w:cs="Times New Roman"/>
          <w:lang w:eastAsia="en-GB"/>
        </w:rPr>
        <w:t>VfM</w:t>
      </w:r>
      <w:proofErr w:type="spellEnd"/>
      <w:r w:rsidRPr="00937943">
        <w:rPr>
          <w:rFonts w:ascii="Verdana" w:eastAsia="Times New Roman" w:hAnsi="Verdana" w:cs="Times New Roman"/>
          <w:lang w:eastAsia="en-GB"/>
        </w:rPr>
        <w:t xml:space="preserve"> initiatives undertaken by LSHA during 2015/16 include:</w:t>
      </w:r>
    </w:p>
    <w:p w:rsidR="00937943" w:rsidRPr="00937943" w:rsidRDefault="00937943" w:rsidP="00937943">
      <w:pPr>
        <w:tabs>
          <w:tab w:val="left" w:pos="1260"/>
          <w:tab w:val="left" w:pos="1980"/>
          <w:tab w:val="left" w:pos="2700"/>
          <w:tab w:val="left" w:pos="3420"/>
        </w:tabs>
        <w:spacing w:after="0" w:line="240" w:lineRule="auto"/>
        <w:rPr>
          <w:rFonts w:ascii="Verdana" w:eastAsia="Times New Roman" w:hAnsi="Verdana" w:cs="Times New Roman"/>
          <w:lang w:eastAsia="en-GB"/>
        </w:rPr>
      </w:pPr>
    </w:p>
    <w:p w:rsidR="00937943" w:rsidRPr="00937943" w:rsidRDefault="00937943" w:rsidP="00937943">
      <w:pPr>
        <w:numPr>
          <w:ilvl w:val="0"/>
          <w:numId w:val="8"/>
        </w:numPr>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 xml:space="preserve">Successful implementation of a texting service to over 75% of LSHA tenant’s. Helping reduce postage costs  </w:t>
      </w:r>
    </w:p>
    <w:p w:rsidR="00937943" w:rsidRPr="00937943" w:rsidRDefault="00937943" w:rsidP="00937943">
      <w:pPr>
        <w:numPr>
          <w:ilvl w:val="0"/>
          <w:numId w:val="8"/>
        </w:numPr>
        <w:tabs>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Cost benchmarking exercise across Solfed housing associations</w:t>
      </w:r>
    </w:p>
    <w:p w:rsidR="00937943" w:rsidRPr="00937943" w:rsidRDefault="00937943" w:rsidP="00937943">
      <w:pPr>
        <w:numPr>
          <w:ilvl w:val="0"/>
          <w:numId w:val="8"/>
        </w:numPr>
        <w:tabs>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 xml:space="preserve">Undertake a comprehensive stock condition survey. </w:t>
      </w:r>
    </w:p>
    <w:p w:rsidR="00937943" w:rsidRPr="00937943" w:rsidRDefault="00937943" w:rsidP="00937943">
      <w:pPr>
        <w:numPr>
          <w:ilvl w:val="0"/>
          <w:numId w:val="8"/>
        </w:numPr>
        <w:tabs>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Complete an asset and liability register for all LSHA rented and commercial property.</w:t>
      </w:r>
    </w:p>
    <w:p w:rsidR="00937943" w:rsidRPr="00937943" w:rsidRDefault="00937943" w:rsidP="00937943">
      <w:pPr>
        <w:numPr>
          <w:ilvl w:val="0"/>
          <w:numId w:val="8"/>
        </w:numPr>
        <w:tabs>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 xml:space="preserve">Agreeing to independent mediation in a complex three legal case resulting in potential savings in excess of £20,000 in legal costs. </w:t>
      </w:r>
    </w:p>
    <w:p w:rsidR="00937943" w:rsidRPr="00937943" w:rsidRDefault="00937943" w:rsidP="00937943">
      <w:pPr>
        <w:numPr>
          <w:ilvl w:val="0"/>
          <w:numId w:val="8"/>
        </w:numPr>
        <w:tabs>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Review of tenant engagement strategy to improve customer satisfaction.</w:t>
      </w:r>
    </w:p>
    <w:p w:rsidR="00937943" w:rsidRPr="00937943" w:rsidRDefault="00937943" w:rsidP="00937943">
      <w:pPr>
        <w:numPr>
          <w:ilvl w:val="0"/>
          <w:numId w:val="8"/>
        </w:numPr>
        <w:tabs>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Undertake a utilities review to reduce cost of gas and electricity costs.</w:t>
      </w:r>
    </w:p>
    <w:p w:rsidR="00937943" w:rsidRPr="00937943" w:rsidRDefault="00937943" w:rsidP="00937943">
      <w:pPr>
        <w:tabs>
          <w:tab w:val="left" w:pos="1260"/>
          <w:tab w:val="left" w:pos="1980"/>
          <w:tab w:val="left" w:pos="2700"/>
          <w:tab w:val="left" w:pos="3420"/>
        </w:tabs>
        <w:spacing w:after="0" w:line="240" w:lineRule="auto"/>
        <w:rPr>
          <w:rFonts w:ascii="Verdana" w:eastAsia="Times New Roman" w:hAnsi="Verdana" w:cs="Times New Roman"/>
          <w:lang w:eastAsia="en-GB"/>
        </w:rPr>
      </w:pPr>
    </w:p>
    <w:p w:rsidR="00937943" w:rsidRPr="00937943" w:rsidRDefault="00937943" w:rsidP="00937943">
      <w:pPr>
        <w:tabs>
          <w:tab w:val="left" w:pos="1260"/>
          <w:tab w:val="left" w:pos="1980"/>
          <w:tab w:val="left" w:pos="2700"/>
          <w:tab w:val="left" w:pos="3420"/>
        </w:tabs>
        <w:spacing w:after="0" w:line="240" w:lineRule="auto"/>
        <w:rPr>
          <w:rFonts w:ascii="Verdana" w:eastAsia="Times New Roman" w:hAnsi="Verdana" w:cs="Times New Roman"/>
          <w:lang w:eastAsia="en-GB"/>
        </w:rPr>
      </w:pPr>
    </w:p>
    <w:p w:rsidR="00937943" w:rsidRPr="00937943" w:rsidRDefault="00937943" w:rsidP="00937943">
      <w:pPr>
        <w:tabs>
          <w:tab w:val="left" w:pos="1260"/>
          <w:tab w:val="left" w:pos="1980"/>
          <w:tab w:val="left" w:pos="2700"/>
          <w:tab w:val="left" w:pos="3420"/>
        </w:tabs>
        <w:spacing w:after="0" w:line="240" w:lineRule="auto"/>
        <w:rPr>
          <w:rFonts w:ascii="Verdana" w:eastAsia="Times New Roman" w:hAnsi="Verdana" w:cs="Times New Roman"/>
          <w:b/>
          <w:lang w:eastAsia="en-GB"/>
        </w:rPr>
      </w:pPr>
      <w:r w:rsidRPr="00937943">
        <w:rPr>
          <w:rFonts w:ascii="Verdana" w:eastAsia="Times New Roman" w:hAnsi="Verdana" w:cs="Times New Roman"/>
          <w:b/>
          <w:lang w:eastAsia="en-GB"/>
        </w:rPr>
        <w:t>c) Treasury Management</w:t>
      </w:r>
    </w:p>
    <w:p w:rsidR="00937943" w:rsidRPr="00937943" w:rsidRDefault="00937943" w:rsidP="00937943">
      <w:pPr>
        <w:numPr>
          <w:ilvl w:val="0"/>
          <w:numId w:val="8"/>
        </w:numPr>
        <w:tabs>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lastRenderedPageBreak/>
        <w:t>Undertake a comprehensive review of the 30 year Business Plan.</w:t>
      </w:r>
    </w:p>
    <w:p w:rsidR="00937943" w:rsidRPr="00937943" w:rsidRDefault="00937943" w:rsidP="00937943">
      <w:pPr>
        <w:numPr>
          <w:ilvl w:val="0"/>
          <w:numId w:val="8"/>
        </w:numPr>
        <w:tabs>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 xml:space="preserve">Undertake training for Board members on housing association finance and treasury management. </w:t>
      </w:r>
    </w:p>
    <w:p w:rsidR="00937943" w:rsidRPr="00937943" w:rsidRDefault="00937943" w:rsidP="00937943">
      <w:pPr>
        <w:numPr>
          <w:ilvl w:val="0"/>
          <w:numId w:val="8"/>
        </w:numPr>
        <w:tabs>
          <w:tab w:val="left" w:pos="1260"/>
          <w:tab w:val="left" w:pos="1980"/>
          <w:tab w:val="left" w:pos="2700"/>
          <w:tab w:val="left" w:pos="3420"/>
        </w:tabs>
        <w:spacing w:after="0" w:line="240" w:lineRule="auto"/>
        <w:rPr>
          <w:rFonts w:ascii="Verdana" w:eastAsia="Times New Roman" w:hAnsi="Verdana" w:cs="Times New Roman"/>
          <w:lang w:eastAsia="en-GB"/>
        </w:rPr>
      </w:pPr>
      <w:r w:rsidRPr="00937943">
        <w:rPr>
          <w:rFonts w:ascii="Verdana" w:eastAsia="Times New Roman" w:hAnsi="Verdana" w:cs="Times New Roman"/>
          <w:lang w:eastAsia="en-GB"/>
        </w:rPr>
        <w:t>Initiate a comprehensive Treasury Management review.</w:t>
      </w:r>
    </w:p>
    <w:p w:rsidR="00937943" w:rsidRPr="00937943" w:rsidRDefault="00937943" w:rsidP="00937943">
      <w:pPr>
        <w:tabs>
          <w:tab w:val="left" w:pos="1260"/>
          <w:tab w:val="left" w:pos="1980"/>
          <w:tab w:val="left" w:pos="2700"/>
          <w:tab w:val="left" w:pos="3420"/>
        </w:tabs>
        <w:spacing w:after="0" w:line="240" w:lineRule="auto"/>
        <w:ind w:left="360"/>
        <w:rPr>
          <w:rFonts w:ascii="Verdana" w:eastAsia="Times New Roman" w:hAnsi="Verdana" w:cs="Times New Roman"/>
          <w:b/>
          <w:color w:val="FF0000"/>
          <w:lang w:eastAsia="en-GB"/>
        </w:rPr>
      </w:pPr>
    </w:p>
    <w:p w:rsidR="00937943" w:rsidRPr="00937943" w:rsidRDefault="00937943" w:rsidP="00937943">
      <w:pPr>
        <w:tabs>
          <w:tab w:val="left" w:pos="1260"/>
          <w:tab w:val="left" w:pos="1980"/>
          <w:tab w:val="left" w:pos="2700"/>
          <w:tab w:val="left" w:pos="3420"/>
        </w:tabs>
        <w:spacing w:after="0" w:line="240" w:lineRule="auto"/>
        <w:rPr>
          <w:rFonts w:ascii="Verdana" w:eastAsia="Times New Roman" w:hAnsi="Verdana" w:cs="Times New Roman"/>
          <w:color w:val="FF0000"/>
          <w:lang w:eastAsia="en-GB"/>
        </w:rPr>
      </w:pPr>
      <w:r w:rsidRPr="00937943">
        <w:rPr>
          <w:rFonts w:ascii="Verdana" w:eastAsia="Times New Roman" w:hAnsi="Verdana" w:cs="Times New Roman"/>
          <w:color w:val="FF0000"/>
          <w:lang w:eastAsia="en-GB"/>
        </w:rPr>
        <w:br/>
      </w:r>
    </w:p>
    <w:p w:rsidR="00937943" w:rsidRPr="00937943" w:rsidRDefault="00937943" w:rsidP="00937943">
      <w:pPr>
        <w:spacing w:after="0" w:line="240" w:lineRule="auto"/>
        <w:contextualSpacing/>
        <w:rPr>
          <w:rFonts w:ascii="Verdana" w:eastAsia="Calibri" w:hAnsi="Verdana" w:cs="Times New Roman"/>
          <w:b/>
          <w:color w:val="FF0000"/>
          <w:u w:val="single"/>
        </w:rPr>
      </w:pPr>
      <w:r w:rsidRPr="00937943">
        <w:rPr>
          <w:rFonts w:ascii="Verdana" w:eastAsia="Calibri" w:hAnsi="Verdana" w:cs="Times New Roman"/>
          <w:b/>
          <w:bCs/>
          <w:u w:val="single"/>
        </w:rPr>
        <w:t>Projected Value for Money achievements in 2016/17</w:t>
      </w:r>
      <w:r w:rsidRPr="00937943">
        <w:rPr>
          <w:rFonts w:ascii="Verdana" w:eastAsia="Calibri" w:hAnsi="Verdana" w:cs="Times New Roman"/>
          <w:b/>
          <w:bCs/>
          <w:color w:val="FF0000"/>
          <w:u w:val="single"/>
        </w:rPr>
        <w:br/>
      </w:r>
    </w:p>
    <w:p w:rsidR="00937943" w:rsidRPr="00937943" w:rsidRDefault="00937943" w:rsidP="00937943">
      <w:pPr>
        <w:numPr>
          <w:ilvl w:val="0"/>
          <w:numId w:val="8"/>
        </w:numPr>
        <w:spacing w:after="0" w:line="240" w:lineRule="auto"/>
        <w:contextualSpacing/>
        <w:rPr>
          <w:rFonts w:ascii="Verdana" w:eastAsia="Calibri" w:hAnsi="Verdana" w:cs="Times New Roman"/>
        </w:rPr>
      </w:pPr>
      <w:r w:rsidRPr="00937943">
        <w:rPr>
          <w:rFonts w:ascii="Verdana" w:eastAsia="Calibri" w:hAnsi="Verdana" w:cs="Times New Roman"/>
        </w:rPr>
        <w:t xml:space="preserve">Continuing to embed </w:t>
      </w:r>
      <w:proofErr w:type="spellStart"/>
      <w:r w:rsidRPr="00937943">
        <w:rPr>
          <w:rFonts w:ascii="Verdana" w:eastAsia="Calibri" w:hAnsi="Verdana" w:cs="Times New Roman"/>
        </w:rPr>
        <w:t>VfM</w:t>
      </w:r>
      <w:proofErr w:type="spellEnd"/>
      <w:r w:rsidRPr="00937943">
        <w:rPr>
          <w:rFonts w:ascii="Verdana" w:eastAsia="Calibri" w:hAnsi="Verdana" w:cs="Times New Roman"/>
        </w:rPr>
        <w:t xml:space="preserve"> in the organisation. </w:t>
      </w:r>
    </w:p>
    <w:p w:rsidR="00937943" w:rsidRPr="00937943" w:rsidRDefault="00937943" w:rsidP="00937943">
      <w:pPr>
        <w:numPr>
          <w:ilvl w:val="0"/>
          <w:numId w:val="8"/>
        </w:numPr>
        <w:spacing w:after="0" w:line="240" w:lineRule="auto"/>
        <w:contextualSpacing/>
        <w:rPr>
          <w:rFonts w:ascii="Verdana" w:eastAsia="Calibri" w:hAnsi="Verdana" w:cs="Times New Roman"/>
        </w:rPr>
      </w:pPr>
      <w:r w:rsidRPr="00937943">
        <w:rPr>
          <w:rFonts w:ascii="Verdana" w:eastAsia="Calibri" w:hAnsi="Verdana" w:cs="Times New Roman"/>
        </w:rPr>
        <w:t>Review cyclical and programmed works in response to stock condition survey results.</w:t>
      </w:r>
    </w:p>
    <w:p w:rsidR="00937943" w:rsidRPr="00937943" w:rsidRDefault="00937943" w:rsidP="00937943">
      <w:pPr>
        <w:numPr>
          <w:ilvl w:val="0"/>
          <w:numId w:val="8"/>
        </w:numPr>
        <w:spacing w:after="0" w:line="240" w:lineRule="auto"/>
        <w:contextualSpacing/>
        <w:rPr>
          <w:rFonts w:ascii="Verdana" w:eastAsia="Calibri" w:hAnsi="Verdana" w:cs="Times New Roman"/>
        </w:rPr>
      </w:pPr>
      <w:r w:rsidRPr="00937943">
        <w:rPr>
          <w:rFonts w:ascii="Verdana" w:eastAsia="Calibri" w:hAnsi="Verdana" w:cs="Times New Roman"/>
        </w:rPr>
        <w:t>Supporting residents through Welfare Reform and Universal Credit whilst continuing to protect our income stream.</w:t>
      </w:r>
    </w:p>
    <w:p w:rsidR="00937943" w:rsidRPr="00937943" w:rsidRDefault="00937943" w:rsidP="00937943">
      <w:pPr>
        <w:numPr>
          <w:ilvl w:val="0"/>
          <w:numId w:val="8"/>
        </w:numPr>
        <w:spacing w:after="0" w:line="240" w:lineRule="auto"/>
        <w:contextualSpacing/>
        <w:rPr>
          <w:rFonts w:ascii="Verdana" w:eastAsia="Calibri" w:hAnsi="Verdana" w:cs="Times New Roman"/>
        </w:rPr>
      </w:pPr>
      <w:r w:rsidRPr="00937943">
        <w:rPr>
          <w:rFonts w:ascii="Verdana" w:eastAsia="Calibri" w:hAnsi="Verdana" w:cs="Times New Roman"/>
        </w:rPr>
        <w:t>Develop links with local organisations</w:t>
      </w:r>
    </w:p>
    <w:p w:rsidR="00937943" w:rsidRPr="00937943" w:rsidRDefault="00937943" w:rsidP="00937943">
      <w:pPr>
        <w:numPr>
          <w:ilvl w:val="0"/>
          <w:numId w:val="8"/>
        </w:numPr>
        <w:spacing w:after="0" w:line="240" w:lineRule="auto"/>
        <w:contextualSpacing/>
        <w:rPr>
          <w:rFonts w:ascii="Verdana" w:eastAsia="Calibri" w:hAnsi="Verdana" w:cs="Times New Roman"/>
        </w:rPr>
      </w:pPr>
      <w:r w:rsidRPr="00937943">
        <w:rPr>
          <w:rFonts w:ascii="Verdana" w:eastAsia="Calibri" w:hAnsi="Verdana" w:cs="Times New Roman"/>
        </w:rPr>
        <w:t>Support tenant training via accredited resident training courses</w:t>
      </w:r>
    </w:p>
    <w:p w:rsidR="000169F1" w:rsidRDefault="000169F1"/>
    <w:sectPr w:rsidR="000169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43" w:rsidRDefault="00937943" w:rsidP="00937943">
      <w:pPr>
        <w:spacing w:after="0" w:line="240" w:lineRule="auto"/>
      </w:pPr>
      <w:r>
        <w:separator/>
      </w:r>
    </w:p>
  </w:endnote>
  <w:endnote w:type="continuationSeparator" w:id="0">
    <w:p w:rsidR="00937943" w:rsidRDefault="00937943" w:rsidP="0093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43" w:rsidRDefault="00937943" w:rsidP="00937943">
      <w:pPr>
        <w:spacing w:after="0" w:line="240" w:lineRule="auto"/>
      </w:pPr>
      <w:r>
        <w:separator/>
      </w:r>
    </w:p>
  </w:footnote>
  <w:footnote w:type="continuationSeparator" w:id="0">
    <w:p w:rsidR="00937943" w:rsidRDefault="00937943" w:rsidP="00937943">
      <w:pPr>
        <w:spacing w:after="0" w:line="240" w:lineRule="auto"/>
      </w:pPr>
      <w:r>
        <w:continuationSeparator/>
      </w:r>
    </w:p>
  </w:footnote>
  <w:footnote w:id="1">
    <w:p w:rsidR="00937943" w:rsidRDefault="00937943" w:rsidP="00937943">
      <w:pPr>
        <w:pStyle w:val="FootnoteText"/>
      </w:pPr>
      <w:r>
        <w:rPr>
          <w:rStyle w:val="FootnoteReference"/>
        </w:rPr>
        <w:footnoteRef/>
      </w:r>
      <w:r>
        <w:t xml:space="preserve"> This is based on G15 2014/15 figures.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889"/>
    <w:multiLevelType w:val="hybridMultilevel"/>
    <w:tmpl w:val="665679D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406C9"/>
    <w:multiLevelType w:val="multilevel"/>
    <w:tmpl w:val="DF822F56"/>
    <w:lvl w:ilvl="0">
      <w:start w:val="1"/>
      <w:numFmt w:val="bullet"/>
      <w:lvlText w:val=""/>
      <w:lvlJc w:val="left"/>
      <w:pPr>
        <w:tabs>
          <w:tab w:val="num" w:pos="1620"/>
        </w:tabs>
        <w:ind w:left="1620" w:hanging="360"/>
      </w:pPr>
      <w:rPr>
        <w:rFonts w:ascii="Symbol" w:hAnsi="Symbol" w:hint="default"/>
        <w:sz w:val="20"/>
      </w:rPr>
    </w:lvl>
    <w:lvl w:ilvl="1">
      <w:start w:val="1"/>
      <w:numFmt w:val="bullet"/>
      <w:lvlText w:val="o"/>
      <w:lvlJc w:val="left"/>
      <w:pPr>
        <w:tabs>
          <w:tab w:val="num" w:pos="2340"/>
        </w:tabs>
        <w:ind w:left="2340" w:hanging="360"/>
      </w:pPr>
      <w:rPr>
        <w:rFonts w:ascii="Courier New" w:hAnsi="Courier New" w:hint="default"/>
        <w:sz w:val="20"/>
      </w:rPr>
    </w:lvl>
    <w:lvl w:ilvl="2" w:tentative="1">
      <w:start w:val="1"/>
      <w:numFmt w:val="bullet"/>
      <w:lvlText w:val=""/>
      <w:lvlJc w:val="left"/>
      <w:pPr>
        <w:tabs>
          <w:tab w:val="num" w:pos="3060"/>
        </w:tabs>
        <w:ind w:left="3060" w:hanging="360"/>
      </w:pPr>
      <w:rPr>
        <w:rFonts w:ascii="Wingdings" w:hAnsi="Wingdings" w:hint="default"/>
        <w:sz w:val="20"/>
      </w:rPr>
    </w:lvl>
    <w:lvl w:ilvl="3" w:tentative="1">
      <w:start w:val="1"/>
      <w:numFmt w:val="bullet"/>
      <w:lvlText w:val=""/>
      <w:lvlJc w:val="left"/>
      <w:pPr>
        <w:tabs>
          <w:tab w:val="num" w:pos="3780"/>
        </w:tabs>
        <w:ind w:left="3780" w:hanging="360"/>
      </w:pPr>
      <w:rPr>
        <w:rFonts w:ascii="Wingdings" w:hAnsi="Wingdings" w:hint="default"/>
        <w:sz w:val="20"/>
      </w:rPr>
    </w:lvl>
    <w:lvl w:ilvl="4" w:tentative="1">
      <w:start w:val="1"/>
      <w:numFmt w:val="bullet"/>
      <w:lvlText w:val=""/>
      <w:lvlJc w:val="left"/>
      <w:pPr>
        <w:tabs>
          <w:tab w:val="num" w:pos="4500"/>
        </w:tabs>
        <w:ind w:left="4500" w:hanging="360"/>
      </w:pPr>
      <w:rPr>
        <w:rFonts w:ascii="Wingdings" w:hAnsi="Wingdings" w:hint="default"/>
        <w:sz w:val="20"/>
      </w:rPr>
    </w:lvl>
    <w:lvl w:ilvl="5" w:tentative="1">
      <w:start w:val="1"/>
      <w:numFmt w:val="bullet"/>
      <w:lvlText w:val=""/>
      <w:lvlJc w:val="left"/>
      <w:pPr>
        <w:tabs>
          <w:tab w:val="num" w:pos="5220"/>
        </w:tabs>
        <w:ind w:left="5220" w:hanging="360"/>
      </w:pPr>
      <w:rPr>
        <w:rFonts w:ascii="Wingdings" w:hAnsi="Wingdings" w:hint="default"/>
        <w:sz w:val="20"/>
      </w:rPr>
    </w:lvl>
    <w:lvl w:ilvl="6" w:tentative="1">
      <w:start w:val="1"/>
      <w:numFmt w:val="bullet"/>
      <w:lvlText w:val=""/>
      <w:lvlJc w:val="left"/>
      <w:pPr>
        <w:tabs>
          <w:tab w:val="num" w:pos="5940"/>
        </w:tabs>
        <w:ind w:left="5940" w:hanging="360"/>
      </w:pPr>
      <w:rPr>
        <w:rFonts w:ascii="Wingdings" w:hAnsi="Wingdings" w:hint="default"/>
        <w:sz w:val="20"/>
      </w:rPr>
    </w:lvl>
    <w:lvl w:ilvl="7" w:tentative="1">
      <w:start w:val="1"/>
      <w:numFmt w:val="bullet"/>
      <w:lvlText w:val=""/>
      <w:lvlJc w:val="left"/>
      <w:pPr>
        <w:tabs>
          <w:tab w:val="num" w:pos="6660"/>
        </w:tabs>
        <w:ind w:left="6660" w:hanging="360"/>
      </w:pPr>
      <w:rPr>
        <w:rFonts w:ascii="Wingdings" w:hAnsi="Wingdings" w:hint="default"/>
        <w:sz w:val="20"/>
      </w:rPr>
    </w:lvl>
    <w:lvl w:ilvl="8" w:tentative="1">
      <w:start w:val="1"/>
      <w:numFmt w:val="bullet"/>
      <w:lvlText w:val=""/>
      <w:lvlJc w:val="left"/>
      <w:pPr>
        <w:tabs>
          <w:tab w:val="num" w:pos="7380"/>
        </w:tabs>
        <w:ind w:left="7380" w:hanging="360"/>
      </w:pPr>
      <w:rPr>
        <w:rFonts w:ascii="Wingdings" w:hAnsi="Wingdings" w:hint="default"/>
        <w:sz w:val="20"/>
      </w:rPr>
    </w:lvl>
  </w:abstractNum>
  <w:abstractNum w:abstractNumId="2">
    <w:nsid w:val="150E7749"/>
    <w:multiLevelType w:val="hybridMultilevel"/>
    <w:tmpl w:val="E4CAB834"/>
    <w:lvl w:ilvl="0" w:tplc="17965588">
      <w:start w:val="1"/>
      <w:numFmt w:val="bullet"/>
      <w:lvlText w:val="•"/>
      <w:lvlJc w:val="left"/>
      <w:pPr>
        <w:tabs>
          <w:tab w:val="num" w:pos="1620"/>
        </w:tabs>
        <w:ind w:left="1620" w:hanging="360"/>
      </w:pPr>
      <w:rPr>
        <w:rFonts w:ascii="Arial" w:hAnsi="Arial" w:hint="default"/>
      </w:rPr>
    </w:lvl>
    <w:lvl w:ilvl="1" w:tplc="B3F693BA" w:tentative="1">
      <w:start w:val="1"/>
      <w:numFmt w:val="bullet"/>
      <w:lvlText w:val="•"/>
      <w:lvlJc w:val="left"/>
      <w:pPr>
        <w:tabs>
          <w:tab w:val="num" w:pos="2340"/>
        </w:tabs>
        <w:ind w:left="2340" w:hanging="360"/>
      </w:pPr>
      <w:rPr>
        <w:rFonts w:ascii="Arial" w:hAnsi="Arial" w:hint="default"/>
      </w:rPr>
    </w:lvl>
    <w:lvl w:ilvl="2" w:tplc="E138A832" w:tentative="1">
      <w:start w:val="1"/>
      <w:numFmt w:val="bullet"/>
      <w:lvlText w:val="•"/>
      <w:lvlJc w:val="left"/>
      <w:pPr>
        <w:tabs>
          <w:tab w:val="num" w:pos="3060"/>
        </w:tabs>
        <w:ind w:left="3060" w:hanging="360"/>
      </w:pPr>
      <w:rPr>
        <w:rFonts w:ascii="Arial" w:hAnsi="Arial" w:hint="default"/>
      </w:rPr>
    </w:lvl>
    <w:lvl w:ilvl="3" w:tplc="1B222E14" w:tentative="1">
      <w:start w:val="1"/>
      <w:numFmt w:val="bullet"/>
      <w:lvlText w:val="•"/>
      <w:lvlJc w:val="left"/>
      <w:pPr>
        <w:tabs>
          <w:tab w:val="num" w:pos="3780"/>
        </w:tabs>
        <w:ind w:left="3780" w:hanging="360"/>
      </w:pPr>
      <w:rPr>
        <w:rFonts w:ascii="Arial" w:hAnsi="Arial" w:hint="default"/>
      </w:rPr>
    </w:lvl>
    <w:lvl w:ilvl="4" w:tplc="365E4124" w:tentative="1">
      <w:start w:val="1"/>
      <w:numFmt w:val="bullet"/>
      <w:lvlText w:val="•"/>
      <w:lvlJc w:val="left"/>
      <w:pPr>
        <w:tabs>
          <w:tab w:val="num" w:pos="4500"/>
        </w:tabs>
        <w:ind w:left="4500" w:hanging="360"/>
      </w:pPr>
      <w:rPr>
        <w:rFonts w:ascii="Arial" w:hAnsi="Arial" w:hint="default"/>
      </w:rPr>
    </w:lvl>
    <w:lvl w:ilvl="5" w:tplc="5346F606" w:tentative="1">
      <w:start w:val="1"/>
      <w:numFmt w:val="bullet"/>
      <w:lvlText w:val="•"/>
      <w:lvlJc w:val="left"/>
      <w:pPr>
        <w:tabs>
          <w:tab w:val="num" w:pos="5220"/>
        </w:tabs>
        <w:ind w:left="5220" w:hanging="360"/>
      </w:pPr>
      <w:rPr>
        <w:rFonts w:ascii="Arial" w:hAnsi="Arial" w:hint="default"/>
      </w:rPr>
    </w:lvl>
    <w:lvl w:ilvl="6" w:tplc="D99A8400" w:tentative="1">
      <w:start w:val="1"/>
      <w:numFmt w:val="bullet"/>
      <w:lvlText w:val="•"/>
      <w:lvlJc w:val="left"/>
      <w:pPr>
        <w:tabs>
          <w:tab w:val="num" w:pos="5940"/>
        </w:tabs>
        <w:ind w:left="5940" w:hanging="360"/>
      </w:pPr>
      <w:rPr>
        <w:rFonts w:ascii="Arial" w:hAnsi="Arial" w:hint="default"/>
      </w:rPr>
    </w:lvl>
    <w:lvl w:ilvl="7" w:tplc="87F0A6D0" w:tentative="1">
      <w:start w:val="1"/>
      <w:numFmt w:val="bullet"/>
      <w:lvlText w:val="•"/>
      <w:lvlJc w:val="left"/>
      <w:pPr>
        <w:tabs>
          <w:tab w:val="num" w:pos="6660"/>
        </w:tabs>
        <w:ind w:left="6660" w:hanging="360"/>
      </w:pPr>
      <w:rPr>
        <w:rFonts w:ascii="Arial" w:hAnsi="Arial" w:hint="default"/>
      </w:rPr>
    </w:lvl>
    <w:lvl w:ilvl="8" w:tplc="F84AE744" w:tentative="1">
      <w:start w:val="1"/>
      <w:numFmt w:val="bullet"/>
      <w:lvlText w:val="•"/>
      <w:lvlJc w:val="left"/>
      <w:pPr>
        <w:tabs>
          <w:tab w:val="num" w:pos="7380"/>
        </w:tabs>
        <w:ind w:left="7380" w:hanging="360"/>
      </w:pPr>
      <w:rPr>
        <w:rFonts w:ascii="Arial" w:hAnsi="Arial" w:hint="default"/>
      </w:rPr>
    </w:lvl>
  </w:abstractNum>
  <w:abstractNum w:abstractNumId="3">
    <w:nsid w:val="3B11396A"/>
    <w:multiLevelType w:val="hybridMultilevel"/>
    <w:tmpl w:val="90241F8A"/>
    <w:lvl w:ilvl="0" w:tplc="27345BF6">
      <w:start w:val="1"/>
      <w:numFmt w:val="lowerLetter"/>
      <w:lvlText w:val="%1)"/>
      <w:lvlJc w:val="left"/>
      <w:pPr>
        <w:tabs>
          <w:tab w:val="num" w:pos="720"/>
        </w:tabs>
        <w:ind w:left="720" w:hanging="360"/>
      </w:pPr>
    </w:lvl>
    <w:lvl w:ilvl="1" w:tplc="3A58A334">
      <w:start w:val="570"/>
      <w:numFmt w:val="bullet"/>
      <w:lvlText w:val="•"/>
      <w:lvlJc w:val="left"/>
      <w:pPr>
        <w:tabs>
          <w:tab w:val="num" w:pos="1440"/>
        </w:tabs>
        <w:ind w:left="1440" w:hanging="360"/>
      </w:pPr>
      <w:rPr>
        <w:rFonts w:ascii="Arial" w:hAnsi="Arial" w:hint="default"/>
        <w:color w:val="auto"/>
      </w:rPr>
    </w:lvl>
    <w:lvl w:ilvl="2" w:tplc="0B841D8C" w:tentative="1">
      <w:start w:val="1"/>
      <w:numFmt w:val="lowerLetter"/>
      <w:lvlText w:val="%3)"/>
      <w:lvlJc w:val="left"/>
      <w:pPr>
        <w:tabs>
          <w:tab w:val="num" w:pos="2160"/>
        </w:tabs>
        <w:ind w:left="2160" w:hanging="360"/>
      </w:pPr>
    </w:lvl>
    <w:lvl w:ilvl="3" w:tplc="E0B03F14" w:tentative="1">
      <w:start w:val="1"/>
      <w:numFmt w:val="lowerLetter"/>
      <w:lvlText w:val="%4)"/>
      <w:lvlJc w:val="left"/>
      <w:pPr>
        <w:tabs>
          <w:tab w:val="num" w:pos="2880"/>
        </w:tabs>
        <w:ind w:left="2880" w:hanging="360"/>
      </w:pPr>
    </w:lvl>
    <w:lvl w:ilvl="4" w:tplc="621668C0" w:tentative="1">
      <w:start w:val="1"/>
      <w:numFmt w:val="lowerLetter"/>
      <w:lvlText w:val="%5)"/>
      <w:lvlJc w:val="left"/>
      <w:pPr>
        <w:tabs>
          <w:tab w:val="num" w:pos="3600"/>
        </w:tabs>
        <w:ind w:left="3600" w:hanging="360"/>
      </w:pPr>
    </w:lvl>
    <w:lvl w:ilvl="5" w:tplc="08A29C88" w:tentative="1">
      <w:start w:val="1"/>
      <w:numFmt w:val="lowerLetter"/>
      <w:lvlText w:val="%6)"/>
      <w:lvlJc w:val="left"/>
      <w:pPr>
        <w:tabs>
          <w:tab w:val="num" w:pos="4320"/>
        </w:tabs>
        <w:ind w:left="4320" w:hanging="360"/>
      </w:pPr>
    </w:lvl>
    <w:lvl w:ilvl="6" w:tplc="8C5E7E06" w:tentative="1">
      <w:start w:val="1"/>
      <w:numFmt w:val="lowerLetter"/>
      <w:lvlText w:val="%7)"/>
      <w:lvlJc w:val="left"/>
      <w:pPr>
        <w:tabs>
          <w:tab w:val="num" w:pos="5040"/>
        </w:tabs>
        <w:ind w:left="5040" w:hanging="360"/>
      </w:pPr>
    </w:lvl>
    <w:lvl w:ilvl="7" w:tplc="32E85BBC" w:tentative="1">
      <w:start w:val="1"/>
      <w:numFmt w:val="lowerLetter"/>
      <w:lvlText w:val="%8)"/>
      <w:lvlJc w:val="left"/>
      <w:pPr>
        <w:tabs>
          <w:tab w:val="num" w:pos="5760"/>
        </w:tabs>
        <w:ind w:left="5760" w:hanging="360"/>
      </w:pPr>
    </w:lvl>
    <w:lvl w:ilvl="8" w:tplc="B24C8500" w:tentative="1">
      <w:start w:val="1"/>
      <w:numFmt w:val="lowerLetter"/>
      <w:lvlText w:val="%9)"/>
      <w:lvlJc w:val="left"/>
      <w:pPr>
        <w:tabs>
          <w:tab w:val="num" w:pos="6480"/>
        </w:tabs>
        <w:ind w:left="6480" w:hanging="360"/>
      </w:pPr>
    </w:lvl>
  </w:abstractNum>
  <w:abstractNum w:abstractNumId="4">
    <w:nsid w:val="3BD5227A"/>
    <w:multiLevelType w:val="hybridMultilevel"/>
    <w:tmpl w:val="CD968EF2"/>
    <w:lvl w:ilvl="0" w:tplc="702EF9C8">
      <w:start w:val="1"/>
      <w:numFmt w:val="bullet"/>
      <w:lvlText w:val="•"/>
      <w:lvlJc w:val="left"/>
      <w:pPr>
        <w:tabs>
          <w:tab w:val="num" w:pos="720"/>
        </w:tabs>
        <w:ind w:left="720" w:hanging="360"/>
      </w:pPr>
      <w:rPr>
        <w:rFonts w:ascii="Arial" w:hAnsi="Arial" w:hint="default"/>
      </w:rPr>
    </w:lvl>
    <w:lvl w:ilvl="1" w:tplc="0F884464">
      <w:start w:val="528"/>
      <w:numFmt w:val="bullet"/>
      <w:lvlText w:val="–"/>
      <w:lvlJc w:val="left"/>
      <w:pPr>
        <w:tabs>
          <w:tab w:val="num" w:pos="1440"/>
        </w:tabs>
        <w:ind w:left="1440" w:hanging="360"/>
      </w:pPr>
      <w:rPr>
        <w:rFonts w:ascii="Arial" w:hAnsi="Arial" w:hint="default"/>
      </w:rPr>
    </w:lvl>
    <w:lvl w:ilvl="2" w:tplc="394EDC94">
      <w:start w:val="528"/>
      <w:numFmt w:val="bullet"/>
      <w:lvlText w:val="•"/>
      <w:lvlJc w:val="left"/>
      <w:pPr>
        <w:tabs>
          <w:tab w:val="num" w:pos="2160"/>
        </w:tabs>
        <w:ind w:left="2160" w:hanging="360"/>
      </w:pPr>
      <w:rPr>
        <w:rFonts w:ascii="Arial" w:hAnsi="Arial" w:hint="default"/>
      </w:rPr>
    </w:lvl>
    <w:lvl w:ilvl="3" w:tplc="BC582ACA" w:tentative="1">
      <w:start w:val="1"/>
      <w:numFmt w:val="bullet"/>
      <w:lvlText w:val="•"/>
      <w:lvlJc w:val="left"/>
      <w:pPr>
        <w:tabs>
          <w:tab w:val="num" w:pos="2880"/>
        </w:tabs>
        <w:ind w:left="2880" w:hanging="360"/>
      </w:pPr>
      <w:rPr>
        <w:rFonts w:ascii="Arial" w:hAnsi="Arial" w:hint="default"/>
      </w:rPr>
    </w:lvl>
    <w:lvl w:ilvl="4" w:tplc="FCF0347A" w:tentative="1">
      <w:start w:val="1"/>
      <w:numFmt w:val="bullet"/>
      <w:lvlText w:val="•"/>
      <w:lvlJc w:val="left"/>
      <w:pPr>
        <w:tabs>
          <w:tab w:val="num" w:pos="3600"/>
        </w:tabs>
        <w:ind w:left="3600" w:hanging="360"/>
      </w:pPr>
      <w:rPr>
        <w:rFonts w:ascii="Arial" w:hAnsi="Arial" w:hint="default"/>
      </w:rPr>
    </w:lvl>
    <w:lvl w:ilvl="5" w:tplc="839EAA3A" w:tentative="1">
      <w:start w:val="1"/>
      <w:numFmt w:val="bullet"/>
      <w:lvlText w:val="•"/>
      <w:lvlJc w:val="left"/>
      <w:pPr>
        <w:tabs>
          <w:tab w:val="num" w:pos="4320"/>
        </w:tabs>
        <w:ind w:left="4320" w:hanging="360"/>
      </w:pPr>
      <w:rPr>
        <w:rFonts w:ascii="Arial" w:hAnsi="Arial" w:hint="default"/>
      </w:rPr>
    </w:lvl>
    <w:lvl w:ilvl="6" w:tplc="1EF0252E" w:tentative="1">
      <w:start w:val="1"/>
      <w:numFmt w:val="bullet"/>
      <w:lvlText w:val="•"/>
      <w:lvlJc w:val="left"/>
      <w:pPr>
        <w:tabs>
          <w:tab w:val="num" w:pos="5040"/>
        </w:tabs>
        <w:ind w:left="5040" w:hanging="360"/>
      </w:pPr>
      <w:rPr>
        <w:rFonts w:ascii="Arial" w:hAnsi="Arial" w:hint="default"/>
      </w:rPr>
    </w:lvl>
    <w:lvl w:ilvl="7" w:tplc="DCE4B726" w:tentative="1">
      <w:start w:val="1"/>
      <w:numFmt w:val="bullet"/>
      <w:lvlText w:val="•"/>
      <w:lvlJc w:val="left"/>
      <w:pPr>
        <w:tabs>
          <w:tab w:val="num" w:pos="5760"/>
        </w:tabs>
        <w:ind w:left="5760" w:hanging="360"/>
      </w:pPr>
      <w:rPr>
        <w:rFonts w:ascii="Arial" w:hAnsi="Arial" w:hint="default"/>
      </w:rPr>
    </w:lvl>
    <w:lvl w:ilvl="8" w:tplc="B6D46358" w:tentative="1">
      <w:start w:val="1"/>
      <w:numFmt w:val="bullet"/>
      <w:lvlText w:val="•"/>
      <w:lvlJc w:val="left"/>
      <w:pPr>
        <w:tabs>
          <w:tab w:val="num" w:pos="6480"/>
        </w:tabs>
        <w:ind w:left="6480" w:hanging="360"/>
      </w:pPr>
      <w:rPr>
        <w:rFonts w:ascii="Arial" w:hAnsi="Arial" w:hint="default"/>
      </w:rPr>
    </w:lvl>
  </w:abstractNum>
  <w:abstractNum w:abstractNumId="5">
    <w:nsid w:val="437771EC"/>
    <w:multiLevelType w:val="hybridMultilevel"/>
    <w:tmpl w:val="997482CE"/>
    <w:lvl w:ilvl="0" w:tplc="0809000D">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CC6FBD"/>
    <w:multiLevelType w:val="hybridMultilevel"/>
    <w:tmpl w:val="B2AE35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C4D4202"/>
    <w:multiLevelType w:val="multilevel"/>
    <w:tmpl w:val="2C74C5DC"/>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2340"/>
        </w:tabs>
        <w:ind w:left="2340" w:hanging="360"/>
      </w:pPr>
      <w:rPr>
        <w:rFonts w:ascii="Courier New" w:hAnsi="Courier New" w:hint="default"/>
        <w:sz w:val="20"/>
      </w:rPr>
    </w:lvl>
    <w:lvl w:ilvl="2" w:tentative="1">
      <w:start w:val="1"/>
      <w:numFmt w:val="bullet"/>
      <w:lvlText w:val=""/>
      <w:lvlJc w:val="left"/>
      <w:pPr>
        <w:tabs>
          <w:tab w:val="num" w:pos="3060"/>
        </w:tabs>
        <w:ind w:left="3060" w:hanging="360"/>
      </w:pPr>
      <w:rPr>
        <w:rFonts w:ascii="Wingdings" w:hAnsi="Wingdings" w:hint="default"/>
        <w:sz w:val="20"/>
      </w:rPr>
    </w:lvl>
    <w:lvl w:ilvl="3" w:tentative="1">
      <w:start w:val="1"/>
      <w:numFmt w:val="bullet"/>
      <w:lvlText w:val=""/>
      <w:lvlJc w:val="left"/>
      <w:pPr>
        <w:tabs>
          <w:tab w:val="num" w:pos="3780"/>
        </w:tabs>
        <w:ind w:left="3780" w:hanging="360"/>
      </w:pPr>
      <w:rPr>
        <w:rFonts w:ascii="Wingdings" w:hAnsi="Wingdings" w:hint="default"/>
        <w:sz w:val="20"/>
      </w:rPr>
    </w:lvl>
    <w:lvl w:ilvl="4" w:tentative="1">
      <w:start w:val="1"/>
      <w:numFmt w:val="bullet"/>
      <w:lvlText w:val=""/>
      <w:lvlJc w:val="left"/>
      <w:pPr>
        <w:tabs>
          <w:tab w:val="num" w:pos="4500"/>
        </w:tabs>
        <w:ind w:left="4500" w:hanging="360"/>
      </w:pPr>
      <w:rPr>
        <w:rFonts w:ascii="Wingdings" w:hAnsi="Wingdings" w:hint="default"/>
        <w:sz w:val="20"/>
      </w:rPr>
    </w:lvl>
    <w:lvl w:ilvl="5" w:tentative="1">
      <w:start w:val="1"/>
      <w:numFmt w:val="bullet"/>
      <w:lvlText w:val=""/>
      <w:lvlJc w:val="left"/>
      <w:pPr>
        <w:tabs>
          <w:tab w:val="num" w:pos="5220"/>
        </w:tabs>
        <w:ind w:left="5220" w:hanging="360"/>
      </w:pPr>
      <w:rPr>
        <w:rFonts w:ascii="Wingdings" w:hAnsi="Wingdings" w:hint="default"/>
        <w:sz w:val="20"/>
      </w:rPr>
    </w:lvl>
    <w:lvl w:ilvl="6" w:tentative="1">
      <w:start w:val="1"/>
      <w:numFmt w:val="bullet"/>
      <w:lvlText w:val=""/>
      <w:lvlJc w:val="left"/>
      <w:pPr>
        <w:tabs>
          <w:tab w:val="num" w:pos="5940"/>
        </w:tabs>
        <w:ind w:left="5940" w:hanging="360"/>
      </w:pPr>
      <w:rPr>
        <w:rFonts w:ascii="Wingdings" w:hAnsi="Wingdings" w:hint="default"/>
        <w:sz w:val="20"/>
      </w:rPr>
    </w:lvl>
    <w:lvl w:ilvl="7" w:tentative="1">
      <w:start w:val="1"/>
      <w:numFmt w:val="bullet"/>
      <w:lvlText w:val=""/>
      <w:lvlJc w:val="left"/>
      <w:pPr>
        <w:tabs>
          <w:tab w:val="num" w:pos="6660"/>
        </w:tabs>
        <w:ind w:left="6660" w:hanging="360"/>
      </w:pPr>
      <w:rPr>
        <w:rFonts w:ascii="Wingdings" w:hAnsi="Wingdings" w:hint="default"/>
        <w:sz w:val="20"/>
      </w:rPr>
    </w:lvl>
    <w:lvl w:ilvl="8" w:tentative="1">
      <w:start w:val="1"/>
      <w:numFmt w:val="bullet"/>
      <w:lvlText w:val=""/>
      <w:lvlJc w:val="left"/>
      <w:pPr>
        <w:tabs>
          <w:tab w:val="num" w:pos="7380"/>
        </w:tabs>
        <w:ind w:left="7380" w:hanging="360"/>
      </w:pPr>
      <w:rPr>
        <w:rFonts w:ascii="Wingdings" w:hAnsi="Wingdings" w:hint="default"/>
        <w:sz w:val="20"/>
      </w:rPr>
    </w:lvl>
  </w:abstractNum>
  <w:abstractNum w:abstractNumId="8">
    <w:nsid w:val="7D5D2CEF"/>
    <w:multiLevelType w:val="hybridMultilevel"/>
    <w:tmpl w:val="3034C30E"/>
    <w:lvl w:ilvl="0" w:tplc="394EDC94">
      <w:start w:val="528"/>
      <w:numFmt w:val="bullet"/>
      <w:lvlText w:val="•"/>
      <w:lvlJc w:val="left"/>
      <w:pPr>
        <w:ind w:left="2160" w:hanging="360"/>
      </w:pPr>
      <w:rPr>
        <w:rFonts w:ascii="Arial" w:hAnsi="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7E096A87"/>
    <w:multiLevelType w:val="multilevel"/>
    <w:tmpl w:val="218C6C28"/>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7"/>
  </w:num>
  <w:num w:numId="2">
    <w:abstractNumId w:val="1"/>
  </w:num>
  <w:num w:numId="3">
    <w:abstractNumId w:val="2"/>
  </w:num>
  <w:num w:numId="4">
    <w:abstractNumId w:val="4"/>
  </w:num>
  <w:num w:numId="5">
    <w:abstractNumId w:val="8"/>
  </w:num>
  <w:num w:numId="6">
    <w:abstractNumId w:val="3"/>
  </w:num>
  <w:num w:numId="7">
    <w:abstractNumId w:val="5"/>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43"/>
    <w:rsid w:val="000169F1"/>
    <w:rsid w:val="00937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3794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937943"/>
    <w:rPr>
      <w:rFonts w:ascii="Arial" w:eastAsia="Times New Roman" w:hAnsi="Arial" w:cs="Times New Roman"/>
      <w:sz w:val="20"/>
      <w:szCs w:val="20"/>
      <w:lang w:eastAsia="en-GB"/>
    </w:rPr>
  </w:style>
  <w:style w:type="character" w:styleId="FootnoteReference">
    <w:name w:val="footnote reference"/>
    <w:rsid w:val="009379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3794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937943"/>
    <w:rPr>
      <w:rFonts w:ascii="Arial" w:eastAsia="Times New Roman" w:hAnsi="Arial" w:cs="Times New Roman"/>
      <w:sz w:val="20"/>
      <w:szCs w:val="20"/>
      <w:lang w:eastAsia="en-GB"/>
    </w:rPr>
  </w:style>
  <w:style w:type="character" w:styleId="FootnoteReference">
    <w:name w:val="footnote reference"/>
    <w:rsid w:val="009379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Jackson</dc:creator>
  <cp:lastModifiedBy>Mark Jackson</cp:lastModifiedBy>
  <cp:revision>1</cp:revision>
  <dcterms:created xsi:type="dcterms:W3CDTF">2016-12-05T10:20:00Z</dcterms:created>
  <dcterms:modified xsi:type="dcterms:W3CDTF">2016-12-05T10:21:00Z</dcterms:modified>
</cp:coreProperties>
</file>