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88EB" w14:textId="77777777" w:rsidR="00A52236" w:rsidRPr="00A52236" w:rsidRDefault="00A52236" w:rsidP="00A522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738B32" w14:textId="77777777"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  <w:r w:rsidRPr="00453A54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02AFBF41" w14:textId="0297735D" w:rsidR="00A52236" w:rsidRPr="00453A54" w:rsidRDefault="00BF7294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LSHA </w:t>
      </w:r>
      <w:r w:rsidR="00453A54" w:rsidRPr="00453A54">
        <w:rPr>
          <w:rFonts w:ascii="Arial" w:eastAsia="Times New Roman" w:hAnsi="Arial" w:cs="Arial"/>
          <w:b/>
          <w:bCs/>
          <w:sz w:val="36"/>
          <w:szCs w:val="36"/>
        </w:rPr>
        <w:t>Self-assessment form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December 2020</w:t>
      </w:r>
      <w:bookmarkStart w:id="0" w:name="_GoBack"/>
      <w:bookmarkEnd w:id="0"/>
    </w:p>
    <w:p w14:paraId="2B48DC08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701"/>
        <w:gridCol w:w="1559"/>
      </w:tblGrid>
      <w:tr w:rsidR="00A87135" w:rsidRPr="00A87135" w14:paraId="584C05D7" w14:textId="77777777" w:rsidTr="00570C2F">
        <w:tc>
          <w:tcPr>
            <w:tcW w:w="10915" w:type="dxa"/>
            <w:gridSpan w:val="4"/>
            <w:shd w:val="clear" w:color="auto" w:fill="D9E2F3" w:themeFill="accent1" w:themeFillTint="33"/>
          </w:tcPr>
          <w:p w14:paraId="252DFA53" w14:textId="77777777" w:rsid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14:paraId="6FE8FD58" w14:textId="77777777" w:rsidR="00453A54" w:rsidRPr="00A87135" w:rsidRDefault="00453A54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5C4FC65" w14:textId="77777777" w:rsidTr="00570C2F">
        <w:tc>
          <w:tcPr>
            <w:tcW w:w="425" w:type="dxa"/>
          </w:tcPr>
          <w:p w14:paraId="7788E01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5909F48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1701" w:type="dxa"/>
          </w:tcPr>
          <w:p w14:paraId="6DF5AF0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0548D2A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57B896CB" w14:textId="77777777" w:rsidTr="00570C2F">
        <w:tc>
          <w:tcPr>
            <w:tcW w:w="425" w:type="dxa"/>
          </w:tcPr>
          <w:p w14:paraId="01139858" w14:textId="77777777" w:rsidR="00A87135" w:rsidRP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7C81FC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 w:rsidR="00B56A9B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14:paraId="03786E9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74C81" w14:textId="77777777" w:rsidR="00A87135" w:rsidRPr="00A87135" w:rsidRDefault="00D525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A7ECCC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3A97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82D24" w14:textId="194B4E62" w:rsidR="00A87135" w:rsidRPr="00A87135" w:rsidRDefault="000F7F99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87135" w:rsidRPr="00A87135" w14:paraId="519021D6" w14:textId="77777777" w:rsidTr="00570C2F">
        <w:tc>
          <w:tcPr>
            <w:tcW w:w="425" w:type="dxa"/>
          </w:tcPr>
          <w:p w14:paraId="5F7DC5F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77211F0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>the</w:t>
            </w:r>
            <w:r w:rsidR="00551AE4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135">
              <w:rPr>
                <w:rFonts w:ascii="Arial" w:hAnsi="Arial" w:cs="Arial"/>
                <w:sz w:val="24"/>
                <w:szCs w:val="24"/>
              </w:rPr>
              <w:t>policy have exclusions where a complaint will not be considered?</w:t>
            </w:r>
          </w:p>
        </w:tc>
        <w:tc>
          <w:tcPr>
            <w:tcW w:w="1701" w:type="dxa"/>
          </w:tcPr>
          <w:p w14:paraId="4CB0182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B4419" w14:textId="790AC12B" w:rsidR="00A87135" w:rsidRPr="00A87135" w:rsidRDefault="000F7F99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87135" w:rsidRPr="00A87135" w14:paraId="1280FB67" w14:textId="77777777" w:rsidTr="00570C2F">
        <w:tc>
          <w:tcPr>
            <w:tcW w:w="425" w:type="dxa"/>
          </w:tcPr>
          <w:p w14:paraId="216EF5C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38D7570A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14:paraId="3832F79F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25233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</w:p>
          <w:p w14:paraId="6F283448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AB27A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DEA22" w14:textId="77777777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141BDEE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0C43723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AF8E828" w14:textId="77777777" w:rsidTr="00570C2F">
        <w:tc>
          <w:tcPr>
            <w:tcW w:w="425" w:type="dxa"/>
          </w:tcPr>
          <w:p w14:paraId="79394EF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269774E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1701" w:type="dxa"/>
          </w:tcPr>
          <w:p w14:paraId="1B6CC90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8650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82C39EB" w14:textId="77777777" w:rsidTr="00570C2F">
        <w:tc>
          <w:tcPr>
            <w:tcW w:w="425" w:type="dxa"/>
          </w:tcPr>
          <w:p w14:paraId="79EF10D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366A8F4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</w:tc>
        <w:tc>
          <w:tcPr>
            <w:tcW w:w="1701" w:type="dxa"/>
          </w:tcPr>
          <w:p w14:paraId="746C7B2B" w14:textId="3E13538C" w:rsidR="00A87135" w:rsidRPr="00A87135" w:rsidRDefault="004978D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0BE1B5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23C1D59" w14:textId="77777777" w:rsidTr="00570C2F">
        <w:tc>
          <w:tcPr>
            <w:tcW w:w="425" w:type="dxa"/>
          </w:tcPr>
          <w:p w14:paraId="73B6A74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413BB834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</w:p>
        </w:tc>
        <w:tc>
          <w:tcPr>
            <w:tcW w:w="1701" w:type="dxa"/>
          </w:tcPr>
          <w:p w14:paraId="2B1672B1" w14:textId="0678EED1" w:rsidR="00A87135" w:rsidRPr="00A87135" w:rsidRDefault="004978D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73AB4F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9919A0C" w14:textId="77777777" w:rsidTr="00570C2F">
        <w:tc>
          <w:tcPr>
            <w:tcW w:w="425" w:type="dxa"/>
          </w:tcPr>
          <w:p w14:paraId="173EC81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5E8EA4E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 w:rsidR="00551AE4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</w:p>
        </w:tc>
        <w:tc>
          <w:tcPr>
            <w:tcW w:w="1701" w:type="dxa"/>
          </w:tcPr>
          <w:p w14:paraId="2159BCAA" w14:textId="03698EA8" w:rsidR="00A87135" w:rsidRPr="00A87135" w:rsidRDefault="009B13A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AA791D0" w14:textId="039275C3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770D1C4" w14:textId="77777777" w:rsidTr="00570C2F">
        <w:tc>
          <w:tcPr>
            <w:tcW w:w="425" w:type="dxa"/>
          </w:tcPr>
          <w:p w14:paraId="41CFB51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58643C4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</w:tc>
        <w:tc>
          <w:tcPr>
            <w:tcW w:w="1701" w:type="dxa"/>
          </w:tcPr>
          <w:p w14:paraId="18695DB7" w14:textId="6B8F7009" w:rsidR="00A87135" w:rsidRPr="00A87135" w:rsidRDefault="009B13A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D3CFADE" w14:textId="24BC6C32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FB53D17" w14:textId="77777777" w:rsidTr="00570C2F">
        <w:tc>
          <w:tcPr>
            <w:tcW w:w="425" w:type="dxa"/>
          </w:tcPr>
          <w:p w14:paraId="4E2C321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108B10D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1701" w:type="dxa"/>
          </w:tcPr>
          <w:p w14:paraId="421222E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2027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B380897" w14:textId="77777777" w:rsidTr="00570C2F">
        <w:tc>
          <w:tcPr>
            <w:tcW w:w="425" w:type="dxa"/>
          </w:tcPr>
          <w:p w14:paraId="56F5552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1CCF883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1701" w:type="dxa"/>
          </w:tcPr>
          <w:p w14:paraId="60A871ED" w14:textId="7C0ABF2B" w:rsidR="00A87135" w:rsidRPr="00A87135" w:rsidRDefault="003006D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9277ECB" w14:textId="6E3B8283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D00CC81" w14:textId="77777777" w:rsidTr="00570C2F">
        <w:tc>
          <w:tcPr>
            <w:tcW w:w="425" w:type="dxa"/>
          </w:tcPr>
          <w:p w14:paraId="6FAE505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D4CD8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1701" w:type="dxa"/>
          </w:tcPr>
          <w:p w14:paraId="58081D7E" w14:textId="4354BDE5" w:rsidR="00A87135" w:rsidRPr="00A87135" w:rsidRDefault="003006D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A60574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51D272" w14:textId="77777777" w:rsidTr="00570C2F">
        <w:tc>
          <w:tcPr>
            <w:tcW w:w="425" w:type="dxa"/>
          </w:tcPr>
          <w:p w14:paraId="52B253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1E4A3D4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1701" w:type="dxa"/>
          </w:tcPr>
          <w:p w14:paraId="211EB87F" w14:textId="2505DBFA" w:rsidR="00A87135" w:rsidRPr="00A87135" w:rsidRDefault="003006D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298ADD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798B8A4" w14:textId="77777777" w:rsidTr="00570C2F">
        <w:trPr>
          <w:trHeight w:val="70"/>
        </w:trPr>
        <w:tc>
          <w:tcPr>
            <w:tcW w:w="425" w:type="dxa"/>
          </w:tcPr>
          <w:p w14:paraId="2C0321E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F376CA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to the complaints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</w:tc>
        <w:tc>
          <w:tcPr>
            <w:tcW w:w="1701" w:type="dxa"/>
          </w:tcPr>
          <w:p w14:paraId="5C4F700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89629B" w14:textId="052FCFE2" w:rsidR="00A87135" w:rsidRPr="00A87135" w:rsidRDefault="00570C2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 </w:t>
            </w:r>
            <w:r w:rsidRPr="00570C2F">
              <w:rPr>
                <w:rFonts w:ascii="Arial" w:hAnsi="Arial" w:cs="Arial"/>
                <w:bCs/>
                <w:sz w:val="24"/>
                <w:szCs w:val="24"/>
              </w:rPr>
              <w:t>Board Member involvement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7135" w:rsidRPr="00A87135" w14:paraId="47FA8474" w14:textId="77777777" w:rsidTr="00570C2F">
        <w:tc>
          <w:tcPr>
            <w:tcW w:w="425" w:type="dxa"/>
          </w:tcPr>
          <w:p w14:paraId="28F0277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0261F4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1701" w:type="dxa"/>
          </w:tcPr>
          <w:p w14:paraId="718A989E" w14:textId="1444AAA6" w:rsidR="00A87135" w:rsidRPr="00A87135" w:rsidRDefault="0010048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D0DDD9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F3EEEE9" w14:textId="77777777" w:rsidTr="00570C2F">
        <w:tc>
          <w:tcPr>
            <w:tcW w:w="425" w:type="dxa"/>
          </w:tcPr>
          <w:p w14:paraId="70B8428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7DE61C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 w:rsidR="00551AE4"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 w:rsidR="00D525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</w:tc>
        <w:tc>
          <w:tcPr>
            <w:tcW w:w="1701" w:type="dxa"/>
          </w:tcPr>
          <w:p w14:paraId="595A1CFB" w14:textId="29536870" w:rsidR="00A87135" w:rsidRPr="00A87135" w:rsidRDefault="0010048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116B58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D42115A" w14:textId="77777777" w:rsidTr="00570C2F">
        <w:tc>
          <w:tcPr>
            <w:tcW w:w="425" w:type="dxa"/>
          </w:tcPr>
          <w:p w14:paraId="7C6025A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F915CAD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</w:tc>
        <w:tc>
          <w:tcPr>
            <w:tcW w:w="1701" w:type="dxa"/>
          </w:tcPr>
          <w:p w14:paraId="569D06A1" w14:textId="7FDA6B1F" w:rsidR="00A87135" w:rsidRPr="00A87135" w:rsidRDefault="0010048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11427A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D41703B" w14:textId="77777777" w:rsidTr="00570C2F">
        <w:tc>
          <w:tcPr>
            <w:tcW w:w="425" w:type="dxa"/>
          </w:tcPr>
          <w:p w14:paraId="4AA081D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AA0D36B" w14:textId="794C8DAD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</w:p>
          <w:p w14:paraId="30780685" w14:textId="77777777" w:rsidR="0010048C" w:rsidRPr="00A87135" w:rsidRDefault="0010048C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B74F4" w14:textId="5D7955C9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2A09D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8771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C53F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53AEED12" w14:textId="6C4275BB" w:rsidR="00A87135" w:rsidRPr="00A87135" w:rsidRDefault="00E474BA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Stage 2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8C9B56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F5F6845" w14:textId="77777777" w:rsidTr="00570C2F">
        <w:tc>
          <w:tcPr>
            <w:tcW w:w="425" w:type="dxa"/>
          </w:tcPr>
          <w:p w14:paraId="027B87A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</w:tcPr>
          <w:p w14:paraId="580F49F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701" w:type="dxa"/>
          </w:tcPr>
          <w:p w14:paraId="5D9542B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DBAA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F114CE3" w14:textId="77777777" w:rsidTr="00570C2F">
        <w:tc>
          <w:tcPr>
            <w:tcW w:w="425" w:type="dxa"/>
          </w:tcPr>
          <w:p w14:paraId="3A300EB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0B1287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1701" w:type="dxa"/>
          </w:tcPr>
          <w:p w14:paraId="076A60F5" w14:textId="092D9C6E" w:rsidR="00A87135" w:rsidRPr="00A87135" w:rsidRDefault="0010048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71656E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EE2B7C5" w14:textId="77777777" w:rsidTr="00570C2F">
        <w:tc>
          <w:tcPr>
            <w:tcW w:w="425" w:type="dxa"/>
          </w:tcPr>
          <w:p w14:paraId="65BF804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7EA9C9A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1701" w:type="dxa"/>
          </w:tcPr>
          <w:p w14:paraId="52AA415E" w14:textId="35D6CC0A" w:rsidR="00A87135" w:rsidRPr="00A87135" w:rsidRDefault="0010048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89A9F6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6DA02F4" w14:textId="77777777" w:rsidTr="00570C2F">
        <w:tc>
          <w:tcPr>
            <w:tcW w:w="425" w:type="dxa"/>
          </w:tcPr>
          <w:p w14:paraId="2AB0C9A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5B33B66C" w14:textId="77777777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 w:rsidR="00F90E75">
              <w:rPr>
                <w:rFonts w:ascii="Arial" w:hAnsi="Arial" w:cs="Arial"/>
                <w:sz w:val="24"/>
                <w:szCs w:val="24"/>
              </w:rPr>
              <w:t>five</w:t>
            </w:r>
            <w:r w:rsidR="00F90E75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days?</w:t>
            </w:r>
          </w:p>
        </w:tc>
        <w:tc>
          <w:tcPr>
            <w:tcW w:w="1701" w:type="dxa"/>
          </w:tcPr>
          <w:p w14:paraId="69EA2905" w14:textId="0C5E73F0" w:rsidR="00A87135" w:rsidRPr="00A87135" w:rsidRDefault="0010048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734923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04BCEF8" w14:textId="77777777" w:rsidTr="00570C2F">
        <w:tc>
          <w:tcPr>
            <w:tcW w:w="425" w:type="dxa"/>
          </w:tcPr>
          <w:p w14:paraId="44AFFC3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E6CB9CE" w14:textId="77777777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</w:p>
        </w:tc>
        <w:tc>
          <w:tcPr>
            <w:tcW w:w="1701" w:type="dxa"/>
          </w:tcPr>
          <w:p w14:paraId="1C20E12A" w14:textId="1E928752" w:rsidR="00A87135" w:rsidRPr="00A87135" w:rsidRDefault="0010048C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46ACD1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B11AC73" w14:textId="77777777" w:rsidTr="00570C2F">
        <w:tc>
          <w:tcPr>
            <w:tcW w:w="425" w:type="dxa"/>
          </w:tcPr>
          <w:p w14:paraId="774FB61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480A7551" w14:textId="77777777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443732D" w14:textId="561CE109" w:rsidR="00A87135" w:rsidRPr="00A87135" w:rsidRDefault="005D0DB2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  <w:r w:rsidR="00B000C5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AA65B8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8608C5E" w14:textId="77777777" w:rsidTr="00570C2F">
        <w:tc>
          <w:tcPr>
            <w:tcW w:w="425" w:type="dxa"/>
          </w:tcPr>
          <w:p w14:paraId="101174E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8BF3D9B" w14:textId="77777777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BAB1BCE" w14:textId="33CCDD9E" w:rsidR="00A87135" w:rsidRPr="00A87135" w:rsidRDefault="005D0DB2" w:rsidP="005D0D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000C5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E5686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4B80" w:rsidRPr="00A87135" w14:paraId="2A7F2716" w14:textId="77777777" w:rsidTr="00570C2F">
        <w:tc>
          <w:tcPr>
            <w:tcW w:w="425" w:type="dxa"/>
          </w:tcPr>
          <w:p w14:paraId="6AF5B31C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EE52584" w14:textId="77777777" w:rsidR="00524B80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607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 w:rsidR="0094518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sent within </w:t>
            </w:r>
            <w:r w:rsidR="002E4C11" w:rsidRPr="00B10662">
              <w:rPr>
                <w:rFonts w:ascii="Arial" w:hAnsi="Arial" w:cs="Arial"/>
                <w:sz w:val="24"/>
                <w:szCs w:val="24"/>
              </w:rPr>
              <w:t>C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ode timescales</w:t>
            </w:r>
            <w:r w:rsidR="00881CD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7DD2BF7" w14:textId="77777777" w:rsidR="00524B80" w:rsidRPr="00B10662" w:rsidRDefault="00524B80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C9C0A" w14:textId="3CCFBAC4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</w:t>
            </w:r>
            <w:r w:rsidR="001004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2B0865" w14:textId="77777777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 (with extension)</w:t>
            </w:r>
          </w:p>
          <w:p w14:paraId="57EDDF96" w14:textId="0BE3C7D8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</w:t>
            </w:r>
            <w:r w:rsidR="0010048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BA74F9D" w14:textId="77777777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 (with extension)</w:t>
            </w:r>
          </w:p>
          <w:p w14:paraId="3CA616DF" w14:textId="77777777" w:rsidR="00524B80" w:rsidRPr="00B10662" w:rsidRDefault="00524B80" w:rsidP="00524B8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509AC786" w14:textId="77777777" w:rsidR="00524B80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0C9FE" w14:textId="77777777" w:rsidR="00B000C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8CE46E" w14:textId="77777777" w:rsidR="00B000C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44707" w14:textId="77777777" w:rsidR="00B000C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</w:p>
          <w:p w14:paraId="6E56D269" w14:textId="77777777" w:rsidR="00B000C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C844E0" w14:textId="05B55939" w:rsidR="00B000C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75%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0071361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2E7311D" w14:textId="77777777" w:rsidTr="00570C2F">
        <w:tc>
          <w:tcPr>
            <w:tcW w:w="425" w:type="dxa"/>
          </w:tcPr>
          <w:p w14:paraId="6B0B4F5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BEF5D4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timescales have been extended did we have good reason?</w:t>
            </w:r>
          </w:p>
        </w:tc>
        <w:tc>
          <w:tcPr>
            <w:tcW w:w="1701" w:type="dxa"/>
          </w:tcPr>
          <w:p w14:paraId="18DA27C4" w14:textId="7B103245" w:rsidR="00A8713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4343BC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569AA61" w14:textId="77777777" w:rsidTr="00570C2F">
        <w:tc>
          <w:tcPr>
            <w:tcW w:w="425" w:type="dxa"/>
          </w:tcPr>
          <w:p w14:paraId="5A54193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7588AED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timescales have been extended did we keep the resident informed?</w:t>
            </w:r>
          </w:p>
        </w:tc>
        <w:tc>
          <w:tcPr>
            <w:tcW w:w="1701" w:type="dxa"/>
          </w:tcPr>
          <w:p w14:paraId="4AD6A387" w14:textId="37658C82" w:rsidR="00A8713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74C4E6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6005" w:rsidRPr="00A87135" w14:paraId="5D199691" w14:textId="77777777" w:rsidTr="00570C2F">
        <w:tc>
          <w:tcPr>
            <w:tcW w:w="425" w:type="dxa"/>
          </w:tcPr>
          <w:p w14:paraId="31BA0B9A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495BEDE8" w14:textId="77777777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proportion of complaints do we resolve to residents</w:t>
            </w:r>
            <w:r w:rsidR="00104662">
              <w:rPr>
                <w:rFonts w:ascii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hAnsi="Arial" w:cs="Arial"/>
                <w:sz w:val="24"/>
                <w:szCs w:val="24"/>
              </w:rPr>
              <w:t>satisfaction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6C2CAC0" w14:textId="401D1A41" w:rsidR="0095600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94%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9E9100D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6F6C96B" w14:textId="77777777" w:rsidTr="00570C2F">
        <w:tc>
          <w:tcPr>
            <w:tcW w:w="425" w:type="dxa"/>
          </w:tcPr>
          <w:p w14:paraId="39B21C5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00F5B2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1701" w:type="dxa"/>
          </w:tcPr>
          <w:p w14:paraId="6CD4BA3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7C2B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71FE3E8" w14:textId="77777777" w:rsidTr="00570C2F">
        <w:tc>
          <w:tcPr>
            <w:tcW w:w="425" w:type="dxa"/>
          </w:tcPr>
          <w:p w14:paraId="3499D1E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C16886D" w14:textId="77777777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1701" w:type="dxa"/>
          </w:tcPr>
          <w:p w14:paraId="577C7A97" w14:textId="54B3A991" w:rsidR="00A8713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D77C72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BDDEDFB" w14:textId="77777777" w:rsidTr="00570C2F">
        <w:tc>
          <w:tcPr>
            <w:tcW w:w="425" w:type="dxa"/>
          </w:tcPr>
          <w:p w14:paraId="7D7712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5C161C1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timescale was extended did we keep the Ombudsman informed?</w:t>
            </w:r>
          </w:p>
        </w:tc>
        <w:tc>
          <w:tcPr>
            <w:tcW w:w="1701" w:type="dxa"/>
          </w:tcPr>
          <w:p w14:paraId="573FC8D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9967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708D772" w14:textId="77777777" w:rsidTr="00570C2F">
        <w:tc>
          <w:tcPr>
            <w:tcW w:w="425" w:type="dxa"/>
          </w:tcPr>
          <w:p w14:paraId="2BFF8A1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0561F21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1701" w:type="dxa"/>
          </w:tcPr>
          <w:p w14:paraId="1990623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4FBB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1591E0C" w14:textId="77777777" w:rsidTr="00570C2F">
        <w:tc>
          <w:tcPr>
            <w:tcW w:w="425" w:type="dxa"/>
          </w:tcPr>
          <w:p w14:paraId="593E0CF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3C83ACA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able to complain via a representative throughout?</w:t>
            </w:r>
          </w:p>
        </w:tc>
        <w:tc>
          <w:tcPr>
            <w:tcW w:w="1701" w:type="dxa"/>
          </w:tcPr>
          <w:p w14:paraId="22827AFA" w14:textId="0B7D0DC0" w:rsidR="00A8713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2B47E2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177DDEE" w14:textId="77777777" w:rsidTr="00570C2F">
        <w:tc>
          <w:tcPr>
            <w:tcW w:w="425" w:type="dxa"/>
          </w:tcPr>
          <w:p w14:paraId="32E297D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39E6F52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</w:tc>
        <w:tc>
          <w:tcPr>
            <w:tcW w:w="1701" w:type="dxa"/>
          </w:tcPr>
          <w:p w14:paraId="6C57DD44" w14:textId="57852BB5" w:rsidR="00A8713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1D05C7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78FC9CB" w14:textId="77777777" w:rsidTr="00570C2F">
        <w:tc>
          <w:tcPr>
            <w:tcW w:w="425" w:type="dxa"/>
          </w:tcPr>
          <w:p w14:paraId="5E89BCB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51AA83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14:paraId="4AB4A5C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925B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92744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was the reason for the refusal?</w:t>
            </w:r>
          </w:p>
          <w:p w14:paraId="1FA4154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FFEE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2EF2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564CD812" w14:textId="04D5D1EE" w:rsidR="00A8713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D0A19E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404B20B" w14:textId="77777777" w:rsidTr="00570C2F">
        <w:tc>
          <w:tcPr>
            <w:tcW w:w="425" w:type="dxa"/>
          </w:tcPr>
          <w:p w14:paraId="123D50A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554C03B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Did we explain our decision to the resident?</w:t>
            </w:r>
          </w:p>
        </w:tc>
        <w:tc>
          <w:tcPr>
            <w:tcW w:w="1701" w:type="dxa"/>
          </w:tcPr>
          <w:p w14:paraId="60365BC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C40F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F681C64" w14:textId="77777777" w:rsidTr="00570C2F">
        <w:tc>
          <w:tcPr>
            <w:tcW w:w="425" w:type="dxa"/>
          </w:tcPr>
          <w:p w14:paraId="732F554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79E7FD7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1701" w:type="dxa"/>
          </w:tcPr>
          <w:p w14:paraId="53F42C6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93C3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C2B68C8" w14:textId="77777777" w:rsidTr="00570C2F">
        <w:tc>
          <w:tcPr>
            <w:tcW w:w="425" w:type="dxa"/>
          </w:tcPr>
          <w:p w14:paraId="6815FF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EF0C235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something has gone wrong are we taking appropriate steps to put things right?</w:t>
            </w:r>
          </w:p>
        </w:tc>
        <w:tc>
          <w:tcPr>
            <w:tcW w:w="1701" w:type="dxa"/>
          </w:tcPr>
          <w:p w14:paraId="655747CA" w14:textId="19E34518" w:rsidR="00A87135" w:rsidRPr="00A87135" w:rsidRDefault="00B000C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069F6B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A9F919D" w14:textId="77777777" w:rsidTr="00570C2F">
        <w:tc>
          <w:tcPr>
            <w:tcW w:w="425" w:type="dxa"/>
          </w:tcPr>
          <w:p w14:paraId="085F9C5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</w:tcPr>
          <w:p w14:paraId="56FEA89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1701" w:type="dxa"/>
          </w:tcPr>
          <w:p w14:paraId="0295F4D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DF4D2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5EF450F" w14:textId="77777777" w:rsidTr="00570C2F">
        <w:tc>
          <w:tcPr>
            <w:tcW w:w="425" w:type="dxa"/>
          </w:tcPr>
          <w:p w14:paraId="26A1E03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B248AC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improvements have we made as a result of learning from complaints?</w:t>
            </w:r>
            <w:r w:rsidRPr="00A87135">
              <w:rPr>
                <w:rFonts w:ascii="Arial" w:hAnsi="Arial" w:cs="Arial"/>
                <w:sz w:val="24"/>
                <w:szCs w:val="24"/>
              </w:rPr>
              <w:br/>
            </w:r>
          </w:p>
          <w:p w14:paraId="33EDEA5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3B57D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5966ADB" w14:textId="01571085" w:rsidR="00A87135" w:rsidRPr="00570C2F" w:rsidRDefault="00B000C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0C2F">
              <w:rPr>
                <w:rFonts w:ascii="Arial" w:hAnsi="Arial" w:cs="Arial"/>
                <w:bCs/>
                <w:sz w:val="24"/>
                <w:szCs w:val="24"/>
              </w:rPr>
              <w:t>Additional resources invested into repair management.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68E235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212383D" w14:textId="77777777" w:rsidTr="00570C2F">
        <w:tc>
          <w:tcPr>
            <w:tcW w:w="425" w:type="dxa"/>
          </w:tcPr>
          <w:p w14:paraId="4739129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8BD36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How do we share these lessons with</w:t>
            </w:r>
            <w:r w:rsidR="0010466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63AAD8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FDF0C" w14:textId="77777777" w:rsidR="00A87135" w:rsidRPr="00A87135" w:rsidRDefault="00104662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esidents?</w:t>
            </w:r>
          </w:p>
          <w:p w14:paraId="75BCA26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E46F7" w14:textId="77777777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the board/governing body?</w:t>
            </w:r>
          </w:p>
          <w:p w14:paraId="18E568F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7BF04" w14:textId="77777777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BD7388">
              <w:rPr>
                <w:rFonts w:ascii="Arial" w:hAnsi="Arial" w:cs="Arial"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 w:rsidR="00BD7388"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eport?</w:t>
            </w:r>
          </w:p>
          <w:p w14:paraId="4267D1A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294F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8878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123CA8BE" w14:textId="77777777" w:rsidR="00A87135" w:rsidRPr="00570C2F" w:rsidRDefault="00A8713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A52D5E" w14:textId="77777777" w:rsidR="00B000C5" w:rsidRPr="00570C2F" w:rsidRDefault="00B000C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53136B" w14:textId="55504E46" w:rsidR="00B000C5" w:rsidRPr="00570C2F" w:rsidRDefault="00B000C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0C2F">
              <w:rPr>
                <w:rFonts w:ascii="Arial" w:hAnsi="Arial" w:cs="Arial"/>
                <w:bCs/>
                <w:sz w:val="24"/>
                <w:szCs w:val="24"/>
              </w:rPr>
              <w:t>Newsletter</w:t>
            </w:r>
          </w:p>
          <w:p w14:paraId="28812B35" w14:textId="77777777" w:rsidR="00B000C5" w:rsidRPr="00570C2F" w:rsidRDefault="00B000C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E9ED2B" w14:textId="7E6368F7" w:rsidR="00B000C5" w:rsidRPr="00570C2F" w:rsidRDefault="00B000C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0C2F">
              <w:rPr>
                <w:rFonts w:ascii="Arial" w:hAnsi="Arial" w:cs="Arial"/>
                <w:bCs/>
                <w:sz w:val="24"/>
                <w:szCs w:val="24"/>
              </w:rPr>
              <w:t>Board reports</w:t>
            </w:r>
          </w:p>
          <w:p w14:paraId="46BECE55" w14:textId="20FE5D6F" w:rsidR="00B000C5" w:rsidRPr="00570C2F" w:rsidRDefault="00B000C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533AE6" w14:textId="77777777" w:rsidR="00B000C5" w:rsidRPr="00570C2F" w:rsidRDefault="00B000C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F4967F" w14:textId="0E1FA42C" w:rsidR="00B000C5" w:rsidRPr="00570C2F" w:rsidRDefault="00B000C5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7A3E460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4BBD239" w14:textId="77777777" w:rsidTr="00570C2F">
        <w:trPr>
          <w:trHeight w:val="806"/>
        </w:trPr>
        <w:tc>
          <w:tcPr>
            <w:tcW w:w="425" w:type="dxa"/>
          </w:tcPr>
          <w:p w14:paraId="50045BF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524A055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</w:tc>
        <w:tc>
          <w:tcPr>
            <w:tcW w:w="1701" w:type="dxa"/>
          </w:tcPr>
          <w:p w14:paraId="7CBB2A20" w14:textId="26272A52" w:rsidR="00A87135" w:rsidRPr="00A87135" w:rsidRDefault="001A6F2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34BF9D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9FC38B6" w14:textId="77777777" w:rsidTr="00570C2F">
        <w:trPr>
          <w:trHeight w:val="806"/>
        </w:trPr>
        <w:tc>
          <w:tcPr>
            <w:tcW w:w="425" w:type="dxa"/>
          </w:tcPr>
          <w:p w14:paraId="347C7B8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269B7A9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5BB4541" w14:textId="09C8CCCF" w:rsidR="009B13A5" w:rsidRPr="00570C2F" w:rsidRDefault="001A6F28" w:rsidP="00A871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0C2F">
              <w:rPr>
                <w:rFonts w:ascii="Arial" w:hAnsi="Arial" w:cs="Arial"/>
                <w:bCs/>
                <w:sz w:val="24"/>
                <w:szCs w:val="24"/>
              </w:rPr>
              <w:t>Reviewing Complaints policy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C5CAA4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18617B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E606A79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03E1860B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7DDFFEA0" w14:textId="77777777" w:rsidR="00A87135" w:rsidRPr="00A52236" w:rsidRDefault="00A87135" w:rsidP="00A52236">
      <w:pPr>
        <w:rPr>
          <w:rFonts w:ascii="Arial" w:eastAsia="Times New Roman" w:hAnsi="Arial" w:cs="Arial"/>
          <w:sz w:val="24"/>
          <w:szCs w:val="24"/>
        </w:rPr>
      </w:pPr>
    </w:p>
    <w:p w14:paraId="15384DE4" w14:textId="77777777" w:rsidR="00AA2A1E" w:rsidRDefault="00AA2A1E"/>
    <w:sectPr w:rsidR="00AA2A1E" w:rsidSect="00AA2A1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4A51" w14:textId="77777777" w:rsidR="00DE5713" w:rsidRDefault="00DE5713">
      <w:pPr>
        <w:spacing w:after="0" w:line="240" w:lineRule="auto"/>
      </w:pPr>
      <w:r>
        <w:separator/>
      </w:r>
    </w:p>
  </w:endnote>
  <w:endnote w:type="continuationSeparator" w:id="0">
    <w:p w14:paraId="0B62CA59" w14:textId="77777777" w:rsidR="00DE5713" w:rsidRDefault="00DE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B2FBF" w14:textId="77777777" w:rsidR="008C2BEF" w:rsidRDefault="008C2B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294">
      <w:rPr>
        <w:noProof/>
      </w:rPr>
      <w:t>1</w:t>
    </w:r>
    <w:r>
      <w:fldChar w:fldCharType="end"/>
    </w:r>
  </w:p>
  <w:p w14:paraId="6AF35779" w14:textId="77777777" w:rsidR="008C2BEF" w:rsidRDefault="008C2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0660" w14:textId="77777777" w:rsidR="00DE5713" w:rsidRDefault="00DE5713">
      <w:pPr>
        <w:spacing w:after="0" w:line="240" w:lineRule="auto"/>
      </w:pPr>
      <w:r>
        <w:separator/>
      </w:r>
    </w:p>
  </w:footnote>
  <w:footnote w:type="continuationSeparator" w:id="0">
    <w:p w14:paraId="7E92E997" w14:textId="77777777" w:rsidR="00DE5713" w:rsidRDefault="00DE5713">
      <w:pPr>
        <w:spacing w:after="0" w:line="240" w:lineRule="auto"/>
      </w:pPr>
      <w:r>
        <w:continuationSeparator/>
      </w:r>
    </w:p>
  </w:footnote>
  <w:footnote w:id="1">
    <w:p w14:paraId="555EB44A" w14:textId="3F565D2E" w:rsidR="005D0DB2" w:rsidRDefault="005D0D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0DB2">
        <w:t>19% [2 cases] resolved at stage 3</w:t>
      </w:r>
    </w:p>
  </w:footnote>
  <w:footnote w:id="2">
    <w:p w14:paraId="192C9210" w14:textId="68E1F912" w:rsidR="00B000C5" w:rsidRDefault="00B000C5">
      <w:pPr>
        <w:pStyle w:val="FootnoteText"/>
      </w:pPr>
      <w:r>
        <w:rPr>
          <w:rStyle w:val="FootnoteReference"/>
        </w:rPr>
        <w:footnoteRef/>
      </w:r>
      <w:r>
        <w:t xml:space="preserve"> Chief executive suffering Covid-19</w:t>
      </w:r>
    </w:p>
  </w:footnote>
  <w:footnote w:id="3">
    <w:p w14:paraId="37850CFA" w14:textId="1D8A10CF" w:rsidR="00B000C5" w:rsidRDefault="00B000C5">
      <w:pPr>
        <w:pStyle w:val="FootnoteText"/>
      </w:pPr>
      <w:r>
        <w:rPr>
          <w:rStyle w:val="FootnoteReference"/>
        </w:rPr>
        <w:footnoteRef/>
      </w:r>
      <w:r>
        <w:t xml:space="preserve"> 1 complaint made to Housing Ombudsman. Therefore assumption made that other complaints were resolved to satisfaction of the tenant.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2C33"/>
    <w:multiLevelType w:val="multilevel"/>
    <w:tmpl w:val="D83ADA1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1AC7938"/>
    <w:multiLevelType w:val="multilevel"/>
    <w:tmpl w:val="4CA4A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>
    <w:nsid w:val="254E4FB8"/>
    <w:multiLevelType w:val="hybridMultilevel"/>
    <w:tmpl w:val="22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20BA"/>
    <w:multiLevelType w:val="multilevel"/>
    <w:tmpl w:val="EF122E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726C7"/>
    <w:multiLevelType w:val="multilevel"/>
    <w:tmpl w:val="B3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3A2E9A"/>
    <w:multiLevelType w:val="multilevel"/>
    <w:tmpl w:val="FEA000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D50690"/>
    <w:multiLevelType w:val="multilevel"/>
    <w:tmpl w:val="CC2C5454"/>
    <w:lvl w:ilvl="0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11F4C60"/>
    <w:multiLevelType w:val="multilevel"/>
    <w:tmpl w:val="EAB84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4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8">
    <w:nsid w:val="74134A11"/>
    <w:multiLevelType w:val="multilevel"/>
    <w:tmpl w:val="88BE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9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5"/>
  </w:num>
  <w:num w:numId="5">
    <w:abstractNumId w:val="30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26"/>
  </w:num>
  <w:num w:numId="11">
    <w:abstractNumId w:val="21"/>
  </w:num>
  <w:num w:numId="12">
    <w:abstractNumId w:val="7"/>
  </w:num>
  <w:num w:numId="13">
    <w:abstractNumId w:val="20"/>
  </w:num>
  <w:num w:numId="14">
    <w:abstractNumId w:val="0"/>
  </w:num>
  <w:num w:numId="15">
    <w:abstractNumId w:val="1"/>
  </w:num>
  <w:num w:numId="16">
    <w:abstractNumId w:val="11"/>
  </w:num>
  <w:num w:numId="17">
    <w:abstractNumId w:val="22"/>
  </w:num>
  <w:num w:numId="18">
    <w:abstractNumId w:val="23"/>
  </w:num>
  <w:num w:numId="19">
    <w:abstractNumId w:val="25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18"/>
  </w:num>
  <w:num w:numId="25">
    <w:abstractNumId w:val="3"/>
  </w:num>
  <w:num w:numId="26">
    <w:abstractNumId w:val="29"/>
  </w:num>
  <w:num w:numId="27">
    <w:abstractNumId w:val="14"/>
  </w:num>
  <w:num w:numId="28">
    <w:abstractNumId w:val="12"/>
  </w:num>
  <w:num w:numId="29">
    <w:abstractNumId w:val="28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36"/>
    <w:rsid w:val="000427F6"/>
    <w:rsid w:val="00084267"/>
    <w:rsid w:val="000857ED"/>
    <w:rsid w:val="0008689D"/>
    <w:rsid w:val="00087092"/>
    <w:rsid w:val="000B56BF"/>
    <w:rsid w:val="000F7F99"/>
    <w:rsid w:val="0010048C"/>
    <w:rsid w:val="00104662"/>
    <w:rsid w:val="00134085"/>
    <w:rsid w:val="001A6F28"/>
    <w:rsid w:val="001B5A62"/>
    <w:rsid w:val="001B65FF"/>
    <w:rsid w:val="001E11D8"/>
    <w:rsid w:val="001E37E3"/>
    <w:rsid w:val="001F3B59"/>
    <w:rsid w:val="00200F95"/>
    <w:rsid w:val="00205A7A"/>
    <w:rsid w:val="00207BDC"/>
    <w:rsid w:val="00217355"/>
    <w:rsid w:val="00226EC5"/>
    <w:rsid w:val="00275B83"/>
    <w:rsid w:val="002B6179"/>
    <w:rsid w:val="002E4C11"/>
    <w:rsid w:val="002F3FE6"/>
    <w:rsid w:val="003006DF"/>
    <w:rsid w:val="0031190E"/>
    <w:rsid w:val="00315110"/>
    <w:rsid w:val="003706D6"/>
    <w:rsid w:val="003979C4"/>
    <w:rsid w:val="003A3A60"/>
    <w:rsid w:val="003A7227"/>
    <w:rsid w:val="003B7402"/>
    <w:rsid w:val="003D7E8C"/>
    <w:rsid w:val="00407273"/>
    <w:rsid w:val="004329D8"/>
    <w:rsid w:val="004424AD"/>
    <w:rsid w:val="00453A54"/>
    <w:rsid w:val="004734AB"/>
    <w:rsid w:val="0048676A"/>
    <w:rsid w:val="00492042"/>
    <w:rsid w:val="004978DB"/>
    <w:rsid w:val="004A1788"/>
    <w:rsid w:val="004A2EAE"/>
    <w:rsid w:val="004D1037"/>
    <w:rsid w:val="00524B80"/>
    <w:rsid w:val="00533C3F"/>
    <w:rsid w:val="00545385"/>
    <w:rsid w:val="005471BE"/>
    <w:rsid w:val="00551AE4"/>
    <w:rsid w:val="00570C2F"/>
    <w:rsid w:val="005728AC"/>
    <w:rsid w:val="005A144C"/>
    <w:rsid w:val="005D0DB2"/>
    <w:rsid w:val="005E53F4"/>
    <w:rsid w:val="005E604D"/>
    <w:rsid w:val="006079F3"/>
    <w:rsid w:val="00620630"/>
    <w:rsid w:val="00621FBC"/>
    <w:rsid w:val="006300C9"/>
    <w:rsid w:val="00684349"/>
    <w:rsid w:val="006A6E91"/>
    <w:rsid w:val="006C7618"/>
    <w:rsid w:val="00771000"/>
    <w:rsid w:val="00787865"/>
    <w:rsid w:val="007F45A2"/>
    <w:rsid w:val="00823608"/>
    <w:rsid w:val="008361A7"/>
    <w:rsid w:val="00863592"/>
    <w:rsid w:val="00863DD0"/>
    <w:rsid w:val="00881CD9"/>
    <w:rsid w:val="008865BD"/>
    <w:rsid w:val="008A22C7"/>
    <w:rsid w:val="008A5A0B"/>
    <w:rsid w:val="008C2BEF"/>
    <w:rsid w:val="008D2D66"/>
    <w:rsid w:val="009015F8"/>
    <w:rsid w:val="009060BF"/>
    <w:rsid w:val="00945187"/>
    <w:rsid w:val="00956005"/>
    <w:rsid w:val="00993CF1"/>
    <w:rsid w:val="00996E24"/>
    <w:rsid w:val="009B13A5"/>
    <w:rsid w:val="009B79F8"/>
    <w:rsid w:val="00A418F5"/>
    <w:rsid w:val="00A52236"/>
    <w:rsid w:val="00A60CF2"/>
    <w:rsid w:val="00A61A6D"/>
    <w:rsid w:val="00A72AAB"/>
    <w:rsid w:val="00A87135"/>
    <w:rsid w:val="00AA2A1E"/>
    <w:rsid w:val="00AB66DE"/>
    <w:rsid w:val="00B000C5"/>
    <w:rsid w:val="00B10662"/>
    <w:rsid w:val="00B56A9B"/>
    <w:rsid w:val="00B76672"/>
    <w:rsid w:val="00B95CA8"/>
    <w:rsid w:val="00BD7388"/>
    <w:rsid w:val="00BE198E"/>
    <w:rsid w:val="00BE247A"/>
    <w:rsid w:val="00BE630E"/>
    <w:rsid w:val="00BF7294"/>
    <w:rsid w:val="00CA6F5C"/>
    <w:rsid w:val="00D06852"/>
    <w:rsid w:val="00D5257A"/>
    <w:rsid w:val="00D60D30"/>
    <w:rsid w:val="00DD4C69"/>
    <w:rsid w:val="00DE5713"/>
    <w:rsid w:val="00E474BA"/>
    <w:rsid w:val="00E67D96"/>
    <w:rsid w:val="00E7695C"/>
    <w:rsid w:val="00E81994"/>
    <w:rsid w:val="00E877E1"/>
    <w:rsid w:val="00E91E0E"/>
    <w:rsid w:val="00E964A3"/>
    <w:rsid w:val="00EA558F"/>
    <w:rsid w:val="00EA77BC"/>
    <w:rsid w:val="00EB68F4"/>
    <w:rsid w:val="00EF0027"/>
    <w:rsid w:val="00F43E42"/>
    <w:rsid w:val="00F728FE"/>
    <w:rsid w:val="00F74F3B"/>
    <w:rsid w:val="00F90E75"/>
    <w:rsid w:val="00FE1496"/>
    <w:rsid w:val="00FF26C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0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14560-F0B1-4764-AF36-16893CA9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Foxall</dc:creator>
  <cp:lastModifiedBy>Mark Jackson</cp:lastModifiedBy>
  <cp:revision>7</cp:revision>
  <cp:lastPrinted>2020-07-06T10:29:00Z</cp:lastPrinted>
  <dcterms:created xsi:type="dcterms:W3CDTF">2020-12-02T11:39:00Z</dcterms:created>
  <dcterms:modified xsi:type="dcterms:W3CDTF">2021-01-18T16:20:00Z</dcterms:modified>
</cp:coreProperties>
</file>